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DBA40A" w14:textId="53256B38" w:rsidR="00FB7094" w:rsidRPr="00C4678A" w:rsidRDefault="00DF3F26" w:rsidP="00C4678A">
      <w:pPr>
        <w:pStyle w:val="Nagwek1"/>
        <w:spacing w:before="0"/>
        <w:rPr>
          <w:b w:val="0"/>
          <w:bCs/>
        </w:rPr>
      </w:pPr>
      <w:r w:rsidRPr="00D522E4">
        <w:t>Wyciąg</w:t>
      </w:r>
      <w:r w:rsidR="006C7463" w:rsidRPr="00D522E4">
        <w:t xml:space="preserve"> </w:t>
      </w:r>
      <w:r w:rsidRPr="00D522E4">
        <w:t xml:space="preserve">z </w:t>
      </w:r>
      <w:r w:rsidR="00F46DC4" w:rsidRPr="00D522E4">
        <w:t>m</w:t>
      </w:r>
      <w:r w:rsidR="001C0C2E" w:rsidRPr="00D522E4">
        <w:t xml:space="preserve">etodyki </w:t>
      </w:r>
      <w:r w:rsidR="00F46DC4" w:rsidRPr="00D522E4">
        <w:t>s</w:t>
      </w:r>
      <w:r w:rsidRPr="00D522E4">
        <w:t>tawek jedn</w:t>
      </w:r>
      <w:r w:rsidR="00BE2736" w:rsidRPr="00D522E4">
        <w:t>ostkowych</w:t>
      </w:r>
      <w:r w:rsidR="00C4678A">
        <w:br/>
      </w:r>
      <w:r w:rsidR="00BE2736" w:rsidRPr="00C4678A">
        <w:rPr>
          <w:b w:val="0"/>
          <w:bCs/>
        </w:rPr>
        <w:t>Inwestycj</w:t>
      </w:r>
      <w:r w:rsidR="00107F51" w:rsidRPr="00C4678A">
        <w:rPr>
          <w:b w:val="0"/>
          <w:bCs/>
        </w:rPr>
        <w:t xml:space="preserve">a </w:t>
      </w:r>
      <w:r w:rsidR="00BE2736" w:rsidRPr="00C4678A">
        <w:rPr>
          <w:b w:val="0"/>
          <w:bCs/>
        </w:rPr>
        <w:t>C1.1.1</w:t>
      </w:r>
      <w:r w:rsidR="006C7463" w:rsidRPr="00C4678A">
        <w:rPr>
          <w:b w:val="0"/>
          <w:bCs/>
        </w:rPr>
        <w:t xml:space="preserve"> </w:t>
      </w:r>
      <w:r w:rsidR="00F46DC4" w:rsidRPr="00C4678A">
        <w:rPr>
          <w:b w:val="0"/>
          <w:bCs/>
        </w:rPr>
        <w:t xml:space="preserve">w ramach </w:t>
      </w:r>
      <w:r w:rsidRPr="00C4678A">
        <w:rPr>
          <w:b w:val="0"/>
          <w:bCs/>
        </w:rPr>
        <w:t>Krajowego Planu Odbudowy i Zwiększania Odporności</w:t>
      </w:r>
      <w:r w:rsidR="009F4749" w:rsidRPr="00C4678A">
        <w:rPr>
          <w:b w:val="0"/>
          <w:bCs/>
        </w:rPr>
        <w:br/>
      </w:r>
      <w:r w:rsidR="00FB7094" w:rsidRPr="00C4678A">
        <w:rPr>
          <w:b w:val="0"/>
          <w:bCs/>
        </w:rPr>
        <w:t>Krajowy Plan Odbudowy i Zwiększania Odporności</w:t>
      </w:r>
    </w:p>
    <w:p w14:paraId="55B2F770" w14:textId="77777777" w:rsidR="005424A9" w:rsidRPr="009F4749" w:rsidRDefault="005424A9" w:rsidP="00C4678A">
      <w:pPr>
        <w:pStyle w:val="Nagwek2"/>
        <w:numPr>
          <w:ilvl w:val="0"/>
          <w:numId w:val="0"/>
        </w:numPr>
        <w:spacing w:before="600"/>
        <w:ind w:left="714" w:hanging="357"/>
      </w:pPr>
      <w:r w:rsidRPr="00D522E4">
        <w:t>Wstęp</w:t>
      </w:r>
    </w:p>
    <w:p w14:paraId="5887CAFA" w14:textId="09F4C5A2" w:rsidR="007805FF" w:rsidRPr="009F4749" w:rsidRDefault="00DF56B3" w:rsidP="008D3043">
      <w:pPr>
        <w:rPr>
          <w:rFonts w:cstheme="minorHAnsi"/>
        </w:rPr>
      </w:pPr>
      <w:r w:rsidRPr="009F4749">
        <w:rPr>
          <w:rFonts w:cstheme="minorHAnsi"/>
        </w:rPr>
        <w:t xml:space="preserve">Celem dokumentu jest </w:t>
      </w:r>
      <w:r w:rsidR="00E10843" w:rsidRPr="009F4749">
        <w:rPr>
          <w:rFonts w:cstheme="minorHAnsi"/>
        </w:rPr>
        <w:t>przedstawienie, w jaki</w:t>
      </w:r>
      <w:r w:rsidR="00F34BAD" w:rsidRPr="009F4749">
        <w:rPr>
          <w:rFonts w:cstheme="minorHAnsi"/>
        </w:rPr>
        <w:t xml:space="preserve"> sposób wyznaczone zostały</w:t>
      </w:r>
      <w:r w:rsidR="002C76B4" w:rsidRPr="009F4749">
        <w:rPr>
          <w:rFonts w:cstheme="minorHAnsi"/>
        </w:rPr>
        <w:t xml:space="preserve"> </w:t>
      </w:r>
      <w:r w:rsidR="00F34BAD" w:rsidRPr="009F4749">
        <w:rPr>
          <w:rFonts w:cstheme="minorHAnsi"/>
        </w:rPr>
        <w:t xml:space="preserve">stawki jednostkowe mające </w:t>
      </w:r>
      <w:r w:rsidR="002C76B4" w:rsidRPr="009F4749">
        <w:rPr>
          <w:rFonts w:cstheme="minorHAnsi"/>
        </w:rPr>
        <w:t>zastosowanie w pr</w:t>
      </w:r>
      <w:r w:rsidR="007805FF" w:rsidRPr="009F4749">
        <w:rPr>
          <w:rFonts w:cstheme="minorHAnsi"/>
        </w:rPr>
        <w:t>zedsięwzięciach</w:t>
      </w:r>
      <w:r w:rsidR="002C76B4" w:rsidRPr="009F4749">
        <w:rPr>
          <w:rFonts w:cstheme="minorHAnsi"/>
        </w:rPr>
        <w:t xml:space="preserve"> realizowanych w </w:t>
      </w:r>
      <w:r w:rsidR="00966F94">
        <w:rPr>
          <w:rFonts w:cstheme="minorHAnsi"/>
        </w:rPr>
        <w:t xml:space="preserve">ramach 4 naboru </w:t>
      </w:r>
      <w:r w:rsidR="000C21F2" w:rsidRPr="009F4749">
        <w:rPr>
          <w:rFonts w:cstheme="minorHAnsi"/>
        </w:rPr>
        <w:t>Inwestycji C1.1.1 „Zapewnienie dostępu do bardzo szybkiego internetu na obszarach białych plam”</w:t>
      </w:r>
      <w:r w:rsidR="002C76B4" w:rsidRPr="009F4749">
        <w:rPr>
          <w:rFonts w:cstheme="minorHAnsi"/>
        </w:rPr>
        <w:t xml:space="preserve"> </w:t>
      </w:r>
      <w:r w:rsidR="001C4C2B" w:rsidRPr="009F4749">
        <w:rPr>
          <w:rFonts w:cstheme="minorHAnsi"/>
        </w:rPr>
        <w:t>Krajowego Planu Odbudowy i Zwiększenia Odporności</w:t>
      </w:r>
      <w:r w:rsidR="00EE7F7F" w:rsidRPr="009F4749">
        <w:rPr>
          <w:rFonts w:cstheme="minorHAnsi"/>
        </w:rPr>
        <w:t xml:space="preserve"> (dalej KPO).</w:t>
      </w:r>
      <w:r w:rsidR="003556C3" w:rsidRPr="009F4749">
        <w:rPr>
          <w:rFonts w:cstheme="minorHAnsi"/>
        </w:rPr>
        <w:t xml:space="preserve"> </w:t>
      </w:r>
      <w:r w:rsidR="007805FF" w:rsidRPr="009F4749">
        <w:rPr>
          <w:rFonts w:cstheme="minorHAnsi"/>
        </w:rPr>
        <w:t>Uwzględniając korzyści płynące ze stosowania uproszczonych metod rozliczania wydatków Minister Funduszy i Polityki Regionalnej podjął decyzję o określeniu stawek jednostkowych w przedsięwzięciach dotyczących budowy sieci bardzo szybkiego inter</w:t>
      </w:r>
      <w:r w:rsidR="009835A4" w:rsidRPr="009F4749">
        <w:rPr>
          <w:rFonts w:cstheme="minorHAnsi"/>
        </w:rPr>
        <w:t>n</w:t>
      </w:r>
      <w:r w:rsidR="007805FF" w:rsidRPr="009F4749">
        <w:rPr>
          <w:rFonts w:cstheme="minorHAnsi"/>
        </w:rPr>
        <w:t>etu szerokopasmowego.</w:t>
      </w:r>
    </w:p>
    <w:p w14:paraId="496B1610" w14:textId="419C3A59" w:rsidR="007805FF" w:rsidRPr="009F4749" w:rsidRDefault="007805FF" w:rsidP="008D3043">
      <w:pPr>
        <w:rPr>
          <w:rFonts w:cstheme="minorHAnsi"/>
        </w:rPr>
      </w:pPr>
      <w:r w:rsidRPr="009F4749">
        <w:rPr>
          <w:rFonts w:cstheme="minorHAnsi"/>
        </w:rPr>
        <w:t xml:space="preserve">Rozliczenie kosztów związanych z realizacją </w:t>
      </w:r>
      <w:r w:rsidR="00E8794C" w:rsidRPr="009F4749">
        <w:rPr>
          <w:rFonts w:cstheme="minorHAnsi"/>
        </w:rPr>
        <w:t xml:space="preserve">Inwestycji </w:t>
      </w:r>
      <w:r w:rsidRPr="009F4749">
        <w:rPr>
          <w:rFonts w:cstheme="minorHAnsi"/>
        </w:rPr>
        <w:t>za pomocą stawek jednostkowych jest uzasadnione faktem występowania w tego rodzaju przedsięwzięciach tożsamych rodzajów wydatków, a także jednolitą grupą potencjalnych ostatecznych odbiorców wsparcia (dalej OOW) tj. przedsiębiorców telekomunikacyjnych. Ułatwi to OOW rozliczanie często powtarzalnych i jednorodnych oraz potwierdzonych wieloma dokumentami kosztów. Z uwagi na powyższe, zasadne jest wprowadzenie stawek jednostkowych w celu koncentracji wysiłków OOW w ramach przedsięwzięcia na osiąganiu jego rezultatów oraz ułatwienia mu rozliczania kosztów przedsięwzięcia.</w:t>
      </w:r>
    </w:p>
    <w:p w14:paraId="79C61824" w14:textId="520BE61C" w:rsidR="00DF3F26" w:rsidRPr="009F4749" w:rsidRDefault="00DF3F26" w:rsidP="00D522E4">
      <w:pPr>
        <w:pStyle w:val="Nagwek2"/>
      </w:pPr>
      <w:r w:rsidRPr="00D522E4">
        <w:t>Pr</w:t>
      </w:r>
      <w:r w:rsidR="000C21F2" w:rsidRPr="00D522E4">
        <w:t>zedsięwzięcia</w:t>
      </w:r>
      <w:r w:rsidR="000C21F2" w:rsidRPr="009F4749">
        <w:t xml:space="preserve"> </w:t>
      </w:r>
      <w:r w:rsidRPr="009F4749">
        <w:t>są rozliczane z zast</w:t>
      </w:r>
      <w:r w:rsidR="0050024B" w:rsidRPr="009F4749">
        <w:t>osowaniem stawek jednostkowych</w:t>
      </w:r>
    </w:p>
    <w:p w14:paraId="38215167" w14:textId="6603EF3A" w:rsidR="00FD5725" w:rsidRPr="009F4749" w:rsidRDefault="00DF3F26" w:rsidP="008D3043">
      <w:pPr>
        <w:rPr>
          <w:rFonts w:cstheme="minorHAnsi"/>
        </w:rPr>
      </w:pPr>
      <w:r w:rsidRPr="009F4749">
        <w:rPr>
          <w:rFonts w:cstheme="minorHAnsi"/>
        </w:rPr>
        <w:t>Stawki je</w:t>
      </w:r>
      <w:r w:rsidR="000C21F2" w:rsidRPr="009F4749">
        <w:rPr>
          <w:rFonts w:cstheme="minorHAnsi"/>
        </w:rPr>
        <w:t xml:space="preserve">dnostkowe </w:t>
      </w:r>
      <w:r w:rsidR="00FD5725" w:rsidRPr="009F4749">
        <w:rPr>
          <w:rFonts w:cstheme="minorHAnsi"/>
        </w:rPr>
        <w:t xml:space="preserve">mają </w:t>
      </w:r>
      <w:r w:rsidRPr="009F4749">
        <w:rPr>
          <w:rFonts w:cstheme="minorHAnsi"/>
        </w:rPr>
        <w:t>zastosowanie do pr</w:t>
      </w:r>
      <w:r w:rsidR="000C21F2" w:rsidRPr="009F4749">
        <w:rPr>
          <w:rFonts w:cstheme="minorHAnsi"/>
        </w:rPr>
        <w:t>zedsięwzięć</w:t>
      </w:r>
      <w:r w:rsidRPr="009F4749">
        <w:rPr>
          <w:rFonts w:cstheme="minorHAnsi"/>
        </w:rPr>
        <w:t xml:space="preserve"> realizowanych w </w:t>
      </w:r>
      <w:r w:rsidR="00966F94">
        <w:rPr>
          <w:rFonts w:cstheme="minorHAnsi"/>
        </w:rPr>
        <w:t xml:space="preserve">ramach 4 naboru </w:t>
      </w:r>
      <w:r w:rsidR="000C21F2" w:rsidRPr="009F4749">
        <w:rPr>
          <w:rFonts w:cstheme="minorHAnsi"/>
        </w:rPr>
        <w:t>Inwestycji C1.1.1 „Zapewnienie dostępu do bardzo szybkiego intern</w:t>
      </w:r>
      <w:r w:rsidR="0050024B" w:rsidRPr="009F4749">
        <w:rPr>
          <w:rFonts w:cstheme="minorHAnsi"/>
        </w:rPr>
        <w:t>etu na obszarach białych plam”.</w:t>
      </w:r>
    </w:p>
    <w:p w14:paraId="405C35D8" w14:textId="48BDA434" w:rsidR="00FD5725" w:rsidRPr="009F4749" w:rsidRDefault="00FD5725" w:rsidP="4EF1CA45">
      <w:pPr>
        <w:rPr>
          <w:rFonts w:cstheme="minorHAnsi"/>
        </w:rPr>
      </w:pPr>
      <w:r w:rsidRPr="009F4749">
        <w:rPr>
          <w:rFonts w:cstheme="minorHAnsi"/>
        </w:rPr>
        <w:t>Stawka jednostkowa stanowi uśrednioną zapłatę za osiągnięcie</w:t>
      </w:r>
      <w:r w:rsidR="00906B92">
        <w:rPr>
          <w:rFonts w:cstheme="minorHAnsi"/>
        </w:rPr>
        <w:t xml:space="preserve"> i utrzymanie w ciągu 3 lat</w:t>
      </w:r>
      <w:r w:rsidRPr="009F4749">
        <w:rPr>
          <w:rFonts w:cstheme="minorHAnsi"/>
        </w:rPr>
        <w:t xml:space="preserve"> przez OOW uzgodnionych w umowie o udzielenie pomocy produktów, które zostały zdefiniowane </w:t>
      </w:r>
      <w:r w:rsidR="5785917B" w:rsidRPr="009F4749">
        <w:rPr>
          <w:rFonts w:cstheme="minorHAnsi"/>
        </w:rPr>
        <w:t xml:space="preserve">w </w:t>
      </w:r>
      <w:r w:rsidRPr="009F4749">
        <w:rPr>
          <w:rFonts w:cstheme="minorHAnsi"/>
        </w:rPr>
        <w:t xml:space="preserve">dokumentacji </w:t>
      </w:r>
      <w:r w:rsidR="5DE75F78" w:rsidRPr="009F4749">
        <w:rPr>
          <w:rFonts w:cstheme="minorHAnsi"/>
        </w:rPr>
        <w:t>naborowej</w:t>
      </w:r>
      <w:r w:rsidR="001F584A" w:rsidRPr="009F4749">
        <w:rPr>
          <w:rFonts w:cstheme="minorHAnsi"/>
        </w:rPr>
        <w:t>.</w:t>
      </w:r>
    </w:p>
    <w:p w14:paraId="587EDA4C" w14:textId="77777777" w:rsidR="00C82052" w:rsidRPr="009F4749" w:rsidRDefault="00DF3F26" w:rsidP="008D3043">
      <w:pPr>
        <w:rPr>
          <w:rFonts w:cstheme="minorHAnsi"/>
        </w:rPr>
      </w:pPr>
      <w:r w:rsidRPr="009F4749">
        <w:rPr>
          <w:rFonts w:cstheme="minorHAnsi"/>
        </w:rPr>
        <w:t xml:space="preserve">Stawka jednostkowa nie jest zatem maksymalną kwotą, która może być przeznaczona na </w:t>
      </w:r>
      <w:r w:rsidR="00A11E2E" w:rsidRPr="009F4749">
        <w:rPr>
          <w:rFonts w:cstheme="minorHAnsi"/>
        </w:rPr>
        <w:t>pomoc</w:t>
      </w:r>
      <w:r w:rsidRPr="009F4749">
        <w:rPr>
          <w:rFonts w:cstheme="minorHAnsi"/>
        </w:rPr>
        <w:t xml:space="preserve"> w danym pr</w:t>
      </w:r>
      <w:r w:rsidR="00A11E2E" w:rsidRPr="009F4749">
        <w:rPr>
          <w:rFonts w:cstheme="minorHAnsi"/>
        </w:rPr>
        <w:t>zedsięwzięciu</w:t>
      </w:r>
      <w:r w:rsidRPr="009F4749">
        <w:rPr>
          <w:rFonts w:cstheme="minorHAnsi"/>
        </w:rPr>
        <w:t>. W ramach budżetu pr</w:t>
      </w:r>
      <w:r w:rsidR="00A11E2E" w:rsidRPr="009F4749">
        <w:rPr>
          <w:rFonts w:cstheme="minorHAnsi"/>
        </w:rPr>
        <w:t xml:space="preserve">zedsięwzięcia </w:t>
      </w:r>
      <w:r w:rsidR="00C82052" w:rsidRPr="009F4749">
        <w:rPr>
          <w:rFonts w:cstheme="minorHAnsi"/>
        </w:rPr>
        <w:t xml:space="preserve">dany </w:t>
      </w:r>
      <w:r w:rsidR="00A11E2E" w:rsidRPr="009F4749">
        <w:rPr>
          <w:rFonts w:cstheme="minorHAnsi"/>
        </w:rPr>
        <w:t xml:space="preserve">OOW </w:t>
      </w:r>
      <w:r w:rsidRPr="009F4749">
        <w:rPr>
          <w:rFonts w:cstheme="minorHAnsi"/>
        </w:rPr>
        <w:t xml:space="preserve">powinien otrzymać </w:t>
      </w:r>
      <w:r w:rsidR="00C82052" w:rsidRPr="009F4749">
        <w:rPr>
          <w:rFonts w:cstheme="minorHAnsi"/>
        </w:rPr>
        <w:t>należność przypisaną tylu jednostkom stawek, ile wynika to z określonych w umowie o objęcie przedsięwzięcia wsparciem wskaźników produktu.</w:t>
      </w:r>
    </w:p>
    <w:p w14:paraId="06B07810" w14:textId="3A698B94" w:rsidR="00E52F10" w:rsidRPr="009F4749" w:rsidRDefault="00DF3F26" w:rsidP="008D3043">
      <w:pPr>
        <w:rPr>
          <w:rFonts w:cstheme="minorHAnsi"/>
        </w:rPr>
      </w:pPr>
      <w:r w:rsidRPr="009F4749">
        <w:rPr>
          <w:rFonts w:cstheme="minorHAnsi"/>
        </w:rPr>
        <w:t>Wydatki rozliczane w formie stawek jednostkowych są traktowane jako wydatki poniesione</w:t>
      </w:r>
      <w:r w:rsidR="003D3084">
        <w:rPr>
          <w:rFonts w:cstheme="minorHAnsi"/>
        </w:rPr>
        <w:t xml:space="preserve"> za osiągnięcie i utrzymanie produktów w ciągu 3 lat</w:t>
      </w:r>
      <w:r w:rsidRPr="009F4749">
        <w:rPr>
          <w:rFonts w:cstheme="minorHAnsi"/>
        </w:rPr>
        <w:t xml:space="preserve">. </w:t>
      </w:r>
      <w:r w:rsidR="003806C8" w:rsidRPr="009F4749">
        <w:rPr>
          <w:rFonts w:cstheme="minorHAnsi"/>
        </w:rPr>
        <w:t>OOW</w:t>
      </w:r>
      <w:r w:rsidRPr="009F4749">
        <w:rPr>
          <w:rFonts w:cstheme="minorHAnsi"/>
        </w:rPr>
        <w:t xml:space="preserve"> nie ma obowiązku gromadzenia ani opisywania dokumentów księgowych w ramach pr</w:t>
      </w:r>
      <w:r w:rsidR="003806C8" w:rsidRPr="009F4749">
        <w:rPr>
          <w:rFonts w:cstheme="minorHAnsi"/>
        </w:rPr>
        <w:t>zedsięwzięcia</w:t>
      </w:r>
      <w:r w:rsidRPr="009F4749">
        <w:rPr>
          <w:rFonts w:cstheme="minorHAnsi"/>
        </w:rPr>
        <w:t xml:space="preserve"> na potwierdzenie poniesienia wydatków, które zostały wykazane jako wydatki objęte stawkami jednostkowymi. Jest jednak zobowiązany do dokumentowania </w:t>
      </w:r>
      <w:r w:rsidR="00C82052" w:rsidRPr="009F4749">
        <w:rPr>
          <w:rFonts w:cstheme="minorHAnsi"/>
        </w:rPr>
        <w:t>z</w:t>
      </w:r>
      <w:r w:rsidRPr="009F4749">
        <w:rPr>
          <w:rFonts w:cstheme="minorHAnsi"/>
        </w:rPr>
        <w:t xml:space="preserve">realizowanych </w:t>
      </w:r>
      <w:r w:rsidR="00C82052" w:rsidRPr="009F4749">
        <w:rPr>
          <w:rFonts w:cstheme="minorHAnsi"/>
        </w:rPr>
        <w:t xml:space="preserve">stawek jednostkowych </w:t>
      </w:r>
      <w:r w:rsidRPr="009F4749">
        <w:rPr>
          <w:rFonts w:cstheme="minorHAnsi"/>
        </w:rPr>
        <w:t>zgodnie z wymogami opisanymi w</w:t>
      </w:r>
      <w:r w:rsidR="00C82052" w:rsidRPr="009F4749">
        <w:rPr>
          <w:rFonts w:cstheme="minorHAnsi"/>
        </w:rPr>
        <w:t xml:space="preserve"> dokumentacji nabor</w:t>
      </w:r>
      <w:r w:rsidR="00103ABD" w:rsidRPr="009F4749">
        <w:rPr>
          <w:rFonts w:cstheme="minorHAnsi"/>
        </w:rPr>
        <w:t>u</w:t>
      </w:r>
      <w:r w:rsidR="00B621AD" w:rsidRPr="009F4749">
        <w:rPr>
          <w:rFonts w:cstheme="minorHAnsi"/>
        </w:rPr>
        <w:t>, w tym wzorze umowy o objecie wsparciem</w:t>
      </w:r>
      <w:r w:rsidR="00036015" w:rsidRPr="009F4749">
        <w:rPr>
          <w:rFonts w:cstheme="minorHAnsi"/>
        </w:rPr>
        <w:t xml:space="preserve"> przedsięwzięcia</w:t>
      </w:r>
      <w:r w:rsidR="00B621AD" w:rsidRPr="009F4749">
        <w:rPr>
          <w:rFonts w:cstheme="minorHAnsi"/>
        </w:rPr>
        <w:t>.</w:t>
      </w:r>
    </w:p>
    <w:p w14:paraId="176CB435" w14:textId="47D53A49" w:rsidR="00E52F10" w:rsidRPr="009F4749" w:rsidRDefault="00E52F10" w:rsidP="00D522E4">
      <w:pPr>
        <w:pStyle w:val="Nagwek2"/>
      </w:pPr>
      <w:r w:rsidRPr="00D522E4">
        <w:t>Warunki</w:t>
      </w:r>
      <w:r w:rsidRPr="009F4749">
        <w:t xml:space="preserve"> kwalifikowalności</w:t>
      </w:r>
    </w:p>
    <w:p w14:paraId="43380B84" w14:textId="77777777" w:rsidR="00E52F10" w:rsidRPr="009F4749" w:rsidRDefault="00E52F10" w:rsidP="008D3043">
      <w:pPr>
        <w:rPr>
          <w:rFonts w:cstheme="minorHAnsi"/>
        </w:rPr>
      </w:pPr>
      <w:r w:rsidRPr="009F4749">
        <w:rPr>
          <w:rFonts w:cstheme="minorHAnsi"/>
        </w:rPr>
        <w:t xml:space="preserve">Wydatki rozliczane z zastosowaniem stawek jednostkowych </w:t>
      </w:r>
      <w:r w:rsidR="00C82052" w:rsidRPr="009F4749">
        <w:rPr>
          <w:rFonts w:cstheme="minorHAnsi"/>
        </w:rPr>
        <w:t xml:space="preserve">oraz produkty wytworzone w ramach przedsięwzięcia </w:t>
      </w:r>
      <w:r w:rsidRPr="009F4749">
        <w:rPr>
          <w:rFonts w:cstheme="minorHAnsi"/>
        </w:rPr>
        <w:t>muszą spełniać następujące warunki:</w:t>
      </w:r>
    </w:p>
    <w:p w14:paraId="46D4EB70" w14:textId="677E96B1" w:rsidR="00E52F10" w:rsidRPr="009F4749" w:rsidRDefault="00E52F10" w:rsidP="008D3043">
      <w:pPr>
        <w:pStyle w:val="Akapitzlist"/>
        <w:numPr>
          <w:ilvl w:val="1"/>
          <w:numId w:val="2"/>
        </w:numPr>
        <w:spacing w:after="240"/>
        <w:ind w:left="709" w:hanging="425"/>
        <w:rPr>
          <w:rFonts w:cstheme="minorHAnsi"/>
        </w:rPr>
      </w:pPr>
      <w:r w:rsidRPr="009F4749">
        <w:rPr>
          <w:rFonts w:cstheme="minorHAnsi"/>
        </w:rPr>
        <w:t>powinny zostać rzeczywiście wykorzystane lub wytworzone w okresie ustalonym w umowie</w:t>
      </w:r>
      <w:r w:rsidR="0023432F" w:rsidRPr="009F4749">
        <w:rPr>
          <w:rFonts w:cstheme="minorHAnsi"/>
        </w:rPr>
        <w:t xml:space="preserve"> o udzielenie pomocy</w:t>
      </w:r>
      <w:r w:rsidRPr="009F4749">
        <w:rPr>
          <w:rFonts w:cstheme="minorHAnsi"/>
        </w:rPr>
        <w:t>, w szczególności nie m</w:t>
      </w:r>
      <w:r w:rsidR="00B0070D" w:rsidRPr="009F4749">
        <w:rPr>
          <w:rFonts w:cstheme="minorHAnsi"/>
        </w:rPr>
        <w:t>ogą</w:t>
      </w:r>
      <w:r w:rsidRPr="009F4749">
        <w:rPr>
          <w:rFonts w:cstheme="minorHAnsi"/>
        </w:rPr>
        <w:t xml:space="preserve"> zostać objęte kwalifikowalnością prac</w:t>
      </w:r>
      <w:r w:rsidR="00B0070D" w:rsidRPr="009F4749">
        <w:rPr>
          <w:rFonts w:cstheme="minorHAnsi"/>
        </w:rPr>
        <w:t>e</w:t>
      </w:r>
      <w:r w:rsidRPr="009F4749">
        <w:rPr>
          <w:rFonts w:cstheme="minorHAnsi"/>
        </w:rPr>
        <w:t>, towary lub usługi</w:t>
      </w:r>
      <w:r w:rsidR="00B0070D" w:rsidRPr="009F4749">
        <w:rPr>
          <w:rFonts w:cstheme="minorHAnsi"/>
        </w:rPr>
        <w:t>,</w:t>
      </w:r>
      <w:r w:rsidRPr="009F4749">
        <w:rPr>
          <w:rFonts w:cstheme="minorHAnsi"/>
        </w:rPr>
        <w:t xml:space="preserve"> których realizacja rozpoczęła się przed dniem złożenia przez wnioskodawcę wniosku o </w:t>
      </w:r>
      <w:r w:rsidR="00C82052" w:rsidRPr="009F4749">
        <w:rPr>
          <w:rFonts w:cstheme="minorHAnsi"/>
        </w:rPr>
        <w:t xml:space="preserve">udzielenie pomocy </w:t>
      </w:r>
      <w:r w:rsidRPr="009F4749">
        <w:rPr>
          <w:rFonts w:cstheme="minorHAnsi"/>
        </w:rPr>
        <w:t xml:space="preserve">– </w:t>
      </w:r>
      <w:r w:rsidR="0023432F" w:rsidRPr="009F4749">
        <w:rPr>
          <w:rFonts w:cstheme="minorHAnsi"/>
        </w:rPr>
        <w:t xml:space="preserve">zgodnie z tzw. efektem </w:t>
      </w:r>
      <w:r w:rsidRPr="009F4749">
        <w:rPr>
          <w:rFonts w:cstheme="minorHAnsi"/>
        </w:rPr>
        <w:t>zachęty</w:t>
      </w:r>
      <w:r w:rsidR="003C5BC8" w:rsidRPr="009F4749">
        <w:rPr>
          <w:rFonts w:cstheme="minorHAnsi"/>
        </w:rPr>
        <w:t>,</w:t>
      </w:r>
    </w:p>
    <w:p w14:paraId="45498204" w14:textId="7E67F1FE" w:rsidR="00E52F10" w:rsidRPr="009F4749" w:rsidRDefault="00E52F10" w:rsidP="008D3043">
      <w:pPr>
        <w:pStyle w:val="Akapitzlist"/>
        <w:numPr>
          <w:ilvl w:val="1"/>
          <w:numId w:val="2"/>
        </w:numPr>
        <w:spacing w:after="240"/>
        <w:ind w:left="709" w:hanging="425"/>
        <w:rPr>
          <w:rFonts w:cstheme="minorHAnsi"/>
        </w:rPr>
      </w:pPr>
      <w:r w:rsidRPr="009F4749">
        <w:rPr>
          <w:rFonts w:cstheme="minorHAnsi"/>
        </w:rPr>
        <w:t>muszą być niezbędne do celów realizacji pr</w:t>
      </w:r>
      <w:r w:rsidR="00B0070D" w:rsidRPr="009F4749">
        <w:rPr>
          <w:rFonts w:cstheme="minorHAnsi"/>
        </w:rPr>
        <w:t>zedsięwzięcia</w:t>
      </w:r>
      <w:r w:rsidRPr="009F4749">
        <w:rPr>
          <w:rFonts w:cstheme="minorHAnsi"/>
        </w:rPr>
        <w:t xml:space="preserve"> lub muszą być wytworzone w ramach pr</w:t>
      </w:r>
      <w:r w:rsidR="00B0070D" w:rsidRPr="009F4749">
        <w:rPr>
          <w:rFonts w:cstheme="minorHAnsi"/>
        </w:rPr>
        <w:t>zedsięwzięcia</w:t>
      </w:r>
      <w:r w:rsidR="003C5BC8" w:rsidRPr="009F4749">
        <w:rPr>
          <w:rFonts w:cstheme="minorHAnsi"/>
        </w:rPr>
        <w:t>,</w:t>
      </w:r>
    </w:p>
    <w:p w14:paraId="48F206BB" w14:textId="337FF035" w:rsidR="00E52F10" w:rsidRPr="009F4749" w:rsidRDefault="0023432F">
      <w:pPr>
        <w:pStyle w:val="Akapitzlist"/>
        <w:numPr>
          <w:ilvl w:val="1"/>
          <w:numId w:val="2"/>
        </w:numPr>
        <w:ind w:left="709" w:hanging="425"/>
        <w:rPr>
          <w:rFonts w:cstheme="minorHAnsi"/>
        </w:rPr>
      </w:pPr>
      <w:r w:rsidRPr="009F4749">
        <w:rPr>
          <w:rFonts w:cstheme="minorHAnsi"/>
        </w:rPr>
        <w:t>produkty</w:t>
      </w:r>
      <w:r w:rsidR="00E52F10" w:rsidRPr="009F4749">
        <w:rPr>
          <w:rFonts w:cstheme="minorHAnsi"/>
        </w:rPr>
        <w:t xml:space="preserve"> </w:t>
      </w:r>
      <w:r w:rsidR="00C31905" w:rsidRPr="009F4749">
        <w:rPr>
          <w:rFonts w:cstheme="minorHAnsi"/>
        </w:rPr>
        <w:t xml:space="preserve">wytworzone w ramach przedsięwzięcia, </w:t>
      </w:r>
      <w:r w:rsidR="00E52F10" w:rsidRPr="009F4749">
        <w:rPr>
          <w:rFonts w:cstheme="minorHAnsi"/>
        </w:rPr>
        <w:t xml:space="preserve">muszą poddawać się identyfikacji i weryfikacji, w szczególności muszą być poparte odpowiednią ewidencją i dokumentacją wyszczególnioną w </w:t>
      </w:r>
      <w:r w:rsidR="00B0070D" w:rsidRPr="009F4749">
        <w:rPr>
          <w:rFonts w:cstheme="minorHAnsi"/>
        </w:rPr>
        <w:t>tym</w:t>
      </w:r>
      <w:r w:rsidR="00E52F10" w:rsidRPr="009F4749">
        <w:rPr>
          <w:rFonts w:cstheme="minorHAnsi"/>
        </w:rPr>
        <w:t xml:space="preserve"> dokumencie.</w:t>
      </w:r>
    </w:p>
    <w:p w14:paraId="18235039" w14:textId="57366E54" w:rsidR="003273CC" w:rsidRPr="009F4749" w:rsidRDefault="003273CC" w:rsidP="008D3043">
      <w:pPr>
        <w:rPr>
          <w:rFonts w:cstheme="minorHAnsi"/>
        </w:rPr>
      </w:pPr>
      <w:r w:rsidRPr="002B6434">
        <w:rPr>
          <w:rFonts w:cstheme="minorHAnsi"/>
        </w:rPr>
        <w:t xml:space="preserve">Maksymalny poziom objęcia przedsięwzięcia wsparciem kosztów kwalifikowalnych wynosi </w:t>
      </w:r>
      <w:r w:rsidR="00966F94" w:rsidRPr="002B6434">
        <w:rPr>
          <w:rFonts w:cstheme="minorHAnsi"/>
        </w:rPr>
        <w:t>95</w:t>
      </w:r>
      <w:r w:rsidRPr="002B6434">
        <w:rPr>
          <w:rFonts w:cstheme="minorHAnsi"/>
        </w:rPr>
        <w:t>% sumy wartości stawek jednostkowych, tj. stawka jednostkowa x intensywność pomocy (</w:t>
      </w:r>
      <w:r w:rsidR="00966F94" w:rsidRPr="002B6434">
        <w:rPr>
          <w:rFonts w:cstheme="minorHAnsi"/>
        </w:rPr>
        <w:t>95</w:t>
      </w:r>
      <w:r w:rsidRPr="002B6434">
        <w:rPr>
          <w:rFonts w:cstheme="minorHAnsi"/>
        </w:rPr>
        <w:t>%).</w:t>
      </w:r>
    </w:p>
    <w:p w14:paraId="3828CF42" w14:textId="1119432E" w:rsidR="0023432F" w:rsidRPr="009F4749" w:rsidRDefault="0023432F" w:rsidP="00D522E4">
      <w:pPr>
        <w:pStyle w:val="Nagwek2"/>
      </w:pPr>
      <w:r w:rsidRPr="009F4749">
        <w:t>Zakres i sposób ustalania wartości stawek jednostkowych</w:t>
      </w:r>
    </w:p>
    <w:p w14:paraId="54F8A5AF" w14:textId="60B6294D" w:rsidR="0023432F" w:rsidRPr="009F4749" w:rsidRDefault="0023432F" w:rsidP="008D3043">
      <w:pPr>
        <w:rPr>
          <w:rFonts w:cstheme="minorHAnsi"/>
        </w:rPr>
      </w:pPr>
      <w:r w:rsidRPr="009F4749">
        <w:rPr>
          <w:rFonts w:cstheme="minorHAnsi"/>
        </w:rPr>
        <w:t xml:space="preserve">Każda stawka jednostkowa </w:t>
      </w:r>
      <w:r w:rsidR="00DC4189" w:rsidRPr="009F4749">
        <w:rPr>
          <w:rFonts w:cstheme="minorHAnsi"/>
        </w:rPr>
        <w:t xml:space="preserve">została opracowana </w:t>
      </w:r>
      <w:r w:rsidR="00A44D25">
        <w:rPr>
          <w:rFonts w:cstheme="minorHAnsi"/>
        </w:rPr>
        <w:t xml:space="preserve">w </w:t>
      </w:r>
      <w:r w:rsidR="002457B3" w:rsidRPr="009F4749">
        <w:rPr>
          <w:rFonts w:cstheme="minorHAnsi"/>
        </w:rPr>
        <w:t>oparciu o niezbędne i najkorzystniejsze z punktu widzenia inwestycyjnego nakłady inwestycyjne objęcia zasięgiem szerokopasmowego Internetu budynków/punktów adresowych z określonej kategorii – jest to uśredniony koszt jednostkowy (</w:t>
      </w:r>
      <w:proofErr w:type="spellStart"/>
      <w:r w:rsidR="002457B3" w:rsidRPr="009F4749">
        <w:rPr>
          <w:rFonts w:cstheme="minorHAnsi"/>
        </w:rPr>
        <w:t>capex</w:t>
      </w:r>
      <w:proofErr w:type="spellEnd"/>
      <w:r w:rsidR="002457B3" w:rsidRPr="009F4749">
        <w:rPr>
          <w:rFonts w:cstheme="minorHAnsi"/>
        </w:rPr>
        <w:t xml:space="preserve">) </w:t>
      </w:r>
      <w:r w:rsidR="00906B92">
        <w:rPr>
          <w:rFonts w:cstheme="minorHAnsi"/>
        </w:rPr>
        <w:t xml:space="preserve">oraz </w:t>
      </w:r>
      <w:r w:rsidR="00A44D25">
        <w:rPr>
          <w:rFonts w:cstheme="minorHAnsi"/>
        </w:rPr>
        <w:t>trzyletni</w:t>
      </w:r>
      <w:r w:rsidR="003D3084">
        <w:rPr>
          <w:rFonts w:cstheme="minorHAnsi"/>
        </w:rPr>
        <w:t xml:space="preserve"> uśredniony koszt</w:t>
      </w:r>
      <w:r w:rsidR="00A44D25">
        <w:rPr>
          <w:rFonts w:cstheme="minorHAnsi"/>
        </w:rPr>
        <w:t xml:space="preserve"> </w:t>
      </w:r>
      <w:r w:rsidR="00CE7442">
        <w:rPr>
          <w:rFonts w:cstheme="minorHAnsi"/>
        </w:rPr>
        <w:t xml:space="preserve"> </w:t>
      </w:r>
      <w:r w:rsidR="00906B92">
        <w:rPr>
          <w:rFonts w:cstheme="minorHAnsi"/>
        </w:rPr>
        <w:t>operacyjny (</w:t>
      </w:r>
      <w:proofErr w:type="spellStart"/>
      <w:r w:rsidR="00906B92">
        <w:rPr>
          <w:rFonts w:cstheme="minorHAnsi"/>
        </w:rPr>
        <w:t>opex</w:t>
      </w:r>
      <w:proofErr w:type="spellEnd"/>
      <w:r w:rsidR="00906B92">
        <w:rPr>
          <w:rFonts w:cstheme="minorHAnsi"/>
        </w:rPr>
        <w:t xml:space="preserve">) </w:t>
      </w:r>
      <w:r w:rsidR="002457B3" w:rsidRPr="009F4749">
        <w:rPr>
          <w:rFonts w:cstheme="minorHAnsi"/>
        </w:rPr>
        <w:t>wybudowania</w:t>
      </w:r>
      <w:r w:rsidR="00A44D25">
        <w:rPr>
          <w:rFonts w:cstheme="minorHAnsi"/>
        </w:rPr>
        <w:t xml:space="preserve"> i utrzymania</w:t>
      </w:r>
      <w:r w:rsidR="002457B3" w:rsidRPr="009F4749">
        <w:rPr>
          <w:rFonts w:cstheme="minorHAnsi"/>
        </w:rPr>
        <w:t xml:space="preserve"> sieci szerokopasmowego dostępu do Internetu do punktów adresowych z określonej grupy/kategorii budynków, dla których wyliczone koszty z modelu (aplikacji MKP) przy tych samych danych wejściowych, uwzględnieniu tych samych zmiennych oraz określeniu tych samych parametrów wykazują zbliżony lub taki sam koszt inwestycyjny. Dodatkowo</w:t>
      </w:r>
      <w:r w:rsidR="005C0DFC" w:rsidRPr="009F4749">
        <w:rPr>
          <w:rFonts w:cstheme="minorHAnsi"/>
        </w:rPr>
        <w:t xml:space="preserve"> </w:t>
      </w:r>
      <w:r w:rsidR="002457B3" w:rsidRPr="009F4749">
        <w:rPr>
          <w:rFonts w:cstheme="minorHAnsi"/>
        </w:rPr>
        <w:t>w celu optymalizacji i minimalizacji wysokości udzielonej pomocy, w nabo</w:t>
      </w:r>
      <w:r w:rsidR="005C0DFC" w:rsidRPr="009F4749">
        <w:rPr>
          <w:rFonts w:cstheme="minorHAnsi"/>
        </w:rPr>
        <w:t xml:space="preserve">rze </w:t>
      </w:r>
      <w:r w:rsidR="002457B3" w:rsidRPr="009F4749">
        <w:rPr>
          <w:rFonts w:cstheme="minorHAnsi"/>
        </w:rPr>
        <w:t>bę</w:t>
      </w:r>
      <w:r w:rsidR="005C0DFC" w:rsidRPr="009F4749">
        <w:rPr>
          <w:rFonts w:cstheme="minorHAnsi"/>
        </w:rPr>
        <w:t>dą</w:t>
      </w:r>
      <w:r w:rsidR="002457B3" w:rsidRPr="009F4749">
        <w:rPr>
          <w:rFonts w:cstheme="minorHAnsi"/>
        </w:rPr>
        <w:t xml:space="preserve"> stosowane kryteria o charakterze aukcyjnym, minimalizujące wysokość udzielonego dofinansowania.</w:t>
      </w:r>
    </w:p>
    <w:p w14:paraId="1689F828" w14:textId="5E336527" w:rsidR="00DC4189" w:rsidRPr="009F4749" w:rsidRDefault="00DC4189" w:rsidP="008D3043">
      <w:pPr>
        <w:rPr>
          <w:rFonts w:cstheme="minorHAnsi"/>
        </w:rPr>
      </w:pPr>
      <w:r w:rsidRPr="009F4749">
        <w:rPr>
          <w:rFonts w:cstheme="minorHAnsi"/>
        </w:rPr>
        <w:t xml:space="preserve">Stawki jednostkowe zgodnie z opracowaną metodyką są wyznaczone na podstawie </w:t>
      </w:r>
      <w:r w:rsidR="00C31905" w:rsidRPr="009F4749">
        <w:rPr>
          <w:rFonts w:cstheme="minorHAnsi"/>
        </w:rPr>
        <w:t>przygotowanego</w:t>
      </w:r>
      <w:r w:rsidRPr="009F4749">
        <w:rPr>
          <w:rFonts w:cstheme="minorHAnsi"/>
        </w:rPr>
        <w:t xml:space="preserve"> narzędzia informatycznego, tj. aplikacji MKP – opartej na modelu kosztowo-popytowym.</w:t>
      </w:r>
    </w:p>
    <w:p w14:paraId="2FF9AC86" w14:textId="77777777" w:rsidR="00DC4189" w:rsidRPr="009F4749" w:rsidRDefault="00DC4189" w:rsidP="008D3043">
      <w:pPr>
        <w:rPr>
          <w:rFonts w:cstheme="minorHAnsi"/>
        </w:rPr>
      </w:pPr>
      <w:r w:rsidRPr="009F4749">
        <w:rPr>
          <w:rFonts w:cstheme="minorHAnsi"/>
        </w:rPr>
        <w:t>Proces ustalania stawek jednostkowych, zgodnie z opracowaną metodyką, składa się z trzech głównych etapów:</w:t>
      </w:r>
    </w:p>
    <w:p w14:paraId="7A5DB638" w14:textId="7EB52637" w:rsidR="00641126" w:rsidRPr="009F4749" w:rsidRDefault="00641126" w:rsidP="00641126">
      <w:pPr>
        <w:pStyle w:val="Akapitzlist"/>
        <w:numPr>
          <w:ilvl w:val="0"/>
          <w:numId w:val="26"/>
        </w:numPr>
        <w:rPr>
          <w:rFonts w:cstheme="minorHAnsi"/>
        </w:rPr>
      </w:pPr>
      <w:r w:rsidRPr="009F4749">
        <w:rPr>
          <w:rFonts w:cstheme="minorHAnsi"/>
        </w:rPr>
        <w:t>Ustalenie kosztów jednostkowych elementów składowych, procesu budowy infrastruktury dostępu do szerokopasmowego Internetu</w:t>
      </w:r>
      <w:r w:rsidR="00A44D25">
        <w:rPr>
          <w:rFonts w:cstheme="minorHAnsi"/>
        </w:rPr>
        <w:t xml:space="preserve"> i jej </w:t>
      </w:r>
      <w:r w:rsidR="00E6425A">
        <w:rPr>
          <w:rFonts w:cstheme="minorHAnsi"/>
        </w:rPr>
        <w:t xml:space="preserve">3 letniego </w:t>
      </w:r>
      <w:r w:rsidR="00A44D25">
        <w:rPr>
          <w:rFonts w:cstheme="minorHAnsi"/>
        </w:rPr>
        <w:t>utrzymania</w:t>
      </w:r>
      <w:r w:rsidRPr="009F4749">
        <w:rPr>
          <w:rFonts w:cstheme="minorHAnsi"/>
        </w:rPr>
        <w:t>.</w:t>
      </w:r>
    </w:p>
    <w:p w14:paraId="78246B77" w14:textId="4D4EE608" w:rsidR="00641126" w:rsidRPr="009F4749" w:rsidRDefault="00641126" w:rsidP="00641126">
      <w:pPr>
        <w:pStyle w:val="Akapitzlist"/>
        <w:numPr>
          <w:ilvl w:val="0"/>
          <w:numId w:val="26"/>
        </w:numPr>
        <w:rPr>
          <w:rFonts w:cstheme="minorHAnsi"/>
        </w:rPr>
      </w:pPr>
      <w:bookmarkStart w:id="0" w:name="_Hlk113618643"/>
      <w:r w:rsidRPr="009F4749">
        <w:rPr>
          <w:rFonts w:cstheme="minorHAnsi"/>
        </w:rPr>
        <w:t xml:space="preserve">Opracowanie z wykorzystaniem aplikacji (MKP) kosztów inwestycji podłączenia pojedynczego punktu adresowego do sieci szerokopasmowego </w:t>
      </w:r>
      <w:bookmarkEnd w:id="0"/>
      <w:r w:rsidRPr="009F4749">
        <w:rPr>
          <w:rFonts w:cstheme="minorHAnsi"/>
        </w:rPr>
        <w:t>Internetu</w:t>
      </w:r>
      <w:r w:rsidR="00A44D25">
        <w:rPr>
          <w:rFonts w:cstheme="minorHAnsi"/>
        </w:rPr>
        <w:t xml:space="preserve"> i je</w:t>
      </w:r>
      <w:r w:rsidR="003D3084">
        <w:rPr>
          <w:rFonts w:cstheme="minorHAnsi"/>
        </w:rPr>
        <w:t>j 3-letniego</w:t>
      </w:r>
      <w:r w:rsidR="00A44D25">
        <w:rPr>
          <w:rFonts w:cstheme="minorHAnsi"/>
        </w:rPr>
        <w:t>utrzymania</w:t>
      </w:r>
      <w:r w:rsidRPr="009F4749">
        <w:rPr>
          <w:rFonts w:cstheme="minorHAnsi"/>
        </w:rPr>
        <w:t>.</w:t>
      </w:r>
    </w:p>
    <w:p w14:paraId="283BAE71" w14:textId="56F3B40C" w:rsidR="00641126" w:rsidRDefault="00641126" w:rsidP="00AC4859">
      <w:pPr>
        <w:pStyle w:val="Akapitzlist"/>
        <w:numPr>
          <w:ilvl w:val="0"/>
          <w:numId w:val="26"/>
        </w:numPr>
        <w:ind w:hanging="357"/>
        <w:rPr>
          <w:rFonts w:cstheme="minorHAnsi"/>
        </w:rPr>
      </w:pPr>
      <w:r w:rsidRPr="009F4749">
        <w:rPr>
          <w:rFonts w:cstheme="minorHAnsi"/>
        </w:rPr>
        <w:t>Analiza oraz pogrupowanie wyników do reprezentatywnych grup/kategorii.</w:t>
      </w:r>
    </w:p>
    <w:p w14:paraId="014313E1" w14:textId="77777777" w:rsidR="00AC4859" w:rsidRPr="009F4749" w:rsidRDefault="00AC4859" w:rsidP="00AC4859">
      <w:pPr>
        <w:pStyle w:val="Akapitzlist"/>
        <w:rPr>
          <w:rFonts w:cstheme="minorHAnsi"/>
        </w:rPr>
      </w:pPr>
    </w:p>
    <w:p w14:paraId="75E5ABBB" w14:textId="2AF36844" w:rsidR="00E52F10" w:rsidRPr="009F4749" w:rsidRDefault="00E52F10" w:rsidP="00D522E4">
      <w:pPr>
        <w:pStyle w:val="Nagwek2"/>
      </w:pPr>
      <w:bookmarkStart w:id="1" w:name="_Hlk135559094"/>
      <w:bookmarkEnd w:id="1"/>
      <w:r w:rsidRPr="009F4749">
        <w:t>Opis i definicja wskaźników rozliczających stawki jednostkowe</w:t>
      </w:r>
    </w:p>
    <w:p w14:paraId="05590417" w14:textId="66DBA682" w:rsidR="005A36B4" w:rsidRPr="009F4749" w:rsidRDefault="00E52F10" w:rsidP="005A36B4">
      <w:pPr>
        <w:rPr>
          <w:rFonts w:cstheme="minorHAnsi"/>
        </w:rPr>
      </w:pPr>
      <w:r w:rsidRPr="009F4749">
        <w:rPr>
          <w:rFonts w:cstheme="minorHAnsi"/>
        </w:rPr>
        <w:t xml:space="preserve">W ramach </w:t>
      </w:r>
      <w:r w:rsidR="003873A7" w:rsidRPr="009F4749">
        <w:rPr>
          <w:rFonts w:cstheme="minorHAnsi"/>
        </w:rPr>
        <w:t>naboru</w:t>
      </w:r>
      <w:r w:rsidR="005A36B4" w:rsidRPr="009F4749">
        <w:rPr>
          <w:rFonts w:cstheme="minorHAnsi"/>
        </w:rPr>
        <w:t xml:space="preserve"> </w:t>
      </w:r>
      <w:r w:rsidRPr="009F4749">
        <w:rPr>
          <w:rFonts w:cstheme="minorHAnsi"/>
        </w:rPr>
        <w:t xml:space="preserve">zostaną udostępnione </w:t>
      </w:r>
      <w:r w:rsidR="005A36B4" w:rsidRPr="009F4749">
        <w:rPr>
          <w:rFonts w:cstheme="minorHAnsi"/>
        </w:rPr>
        <w:t>bazy białych punktów adresowych (wraz ze wskazaniem liczby lokali znajdujących się pod danym punktem adresowym i/lub liczby miejsc stanowiących główną siłę napędową rozwoju społeczno-gospodarczego, dalej: SED).</w:t>
      </w:r>
    </w:p>
    <w:p w14:paraId="0096BC1F" w14:textId="138FAEC2" w:rsidR="005A36B4" w:rsidRPr="009F4749" w:rsidRDefault="005A36B4" w:rsidP="005A36B4">
      <w:pPr>
        <w:rPr>
          <w:rFonts w:cstheme="minorHAnsi"/>
        </w:rPr>
      </w:pPr>
      <w:r w:rsidRPr="009F4749">
        <w:rPr>
          <w:rFonts w:cstheme="minorHAnsi"/>
        </w:rPr>
        <w:t xml:space="preserve">Stawka jednostkowa dotyczy objęcia zasięgiem danego punktu adresowego, niezależnie od </w:t>
      </w:r>
      <w:r w:rsidR="00081855" w:rsidRPr="009F4749">
        <w:rPr>
          <w:rFonts w:cstheme="minorHAnsi"/>
        </w:rPr>
        <w:t>tego,</w:t>
      </w:r>
      <w:r w:rsidRPr="009F4749">
        <w:rPr>
          <w:rFonts w:cstheme="minorHAnsi"/>
        </w:rPr>
        <w:t xml:space="preserve"> ile lokali mieszkalnych i/lub SED znajduje się pod danym adresem. Każdy z punktów adresowych, który będzie objęty wsparciem z KPO w zakresie budowy dostępu do sieci, w dokumentacji konkursowej będzie miał przypisaną kategorię stawki jednostkowej. Podstawą do wypłacenia/rozliczenia stawki jednostkowej będzie zakończenie inwestycji dotyczącej objęcia zasięgiem sieci szerokopasmowego Internetu danego punktu adresowego.</w:t>
      </w:r>
    </w:p>
    <w:p w14:paraId="7F682717" w14:textId="64652BB0" w:rsidR="005A36B4" w:rsidRPr="009F4749" w:rsidRDefault="005A36B4" w:rsidP="005A36B4">
      <w:pPr>
        <w:rPr>
          <w:rFonts w:cstheme="minorHAnsi"/>
        </w:rPr>
      </w:pPr>
      <w:r w:rsidRPr="009F4749">
        <w:rPr>
          <w:rFonts w:cstheme="minorHAnsi"/>
        </w:rPr>
        <w:t>W C.1.1.1 KPO do wypłacenia/rozliczenia stawki jednostkowej zastosowanie ma następujący wskaźnik produktu:</w:t>
      </w:r>
    </w:p>
    <w:tbl>
      <w:tblPr>
        <w:tblStyle w:val="Tabela-Siatka"/>
        <w:tblW w:w="9923" w:type="dxa"/>
        <w:tblInd w:w="-289" w:type="dxa"/>
        <w:tblLook w:val="04A0" w:firstRow="1" w:lastRow="0" w:firstColumn="1" w:lastColumn="0" w:noHBand="0" w:noVBand="1"/>
      </w:tblPr>
      <w:tblGrid>
        <w:gridCol w:w="486"/>
        <w:gridCol w:w="2545"/>
        <w:gridCol w:w="6892"/>
      </w:tblGrid>
      <w:tr w:rsidR="005A36B4" w:rsidRPr="009F4749" w14:paraId="54A804FC" w14:textId="77777777" w:rsidTr="005A36B4">
        <w:tc>
          <w:tcPr>
            <w:tcW w:w="486" w:type="dxa"/>
          </w:tcPr>
          <w:p w14:paraId="257A0F16" w14:textId="77777777" w:rsidR="005A36B4" w:rsidRPr="009F4749" w:rsidRDefault="005A36B4" w:rsidP="00035C72">
            <w:pPr>
              <w:rPr>
                <w:rFonts w:cstheme="minorHAnsi"/>
                <w:b/>
                <w:bCs/>
              </w:rPr>
            </w:pPr>
            <w:r w:rsidRPr="009F4749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2545" w:type="dxa"/>
          </w:tcPr>
          <w:p w14:paraId="56A1936F" w14:textId="77777777" w:rsidR="005A36B4" w:rsidRPr="009F4749" w:rsidRDefault="005A36B4" w:rsidP="00035C72">
            <w:pPr>
              <w:rPr>
                <w:rFonts w:cstheme="minorHAnsi"/>
                <w:b/>
                <w:bCs/>
              </w:rPr>
            </w:pPr>
            <w:r w:rsidRPr="009F4749">
              <w:rPr>
                <w:rFonts w:cstheme="minorHAnsi"/>
                <w:b/>
                <w:bCs/>
              </w:rPr>
              <w:t>Nazwa wskaźnika produktu</w:t>
            </w:r>
          </w:p>
        </w:tc>
        <w:tc>
          <w:tcPr>
            <w:tcW w:w="6892" w:type="dxa"/>
          </w:tcPr>
          <w:p w14:paraId="0FA1FE5E" w14:textId="77777777" w:rsidR="005A36B4" w:rsidRPr="009F4749" w:rsidRDefault="005A36B4" w:rsidP="00035C72">
            <w:pPr>
              <w:rPr>
                <w:rFonts w:cstheme="minorHAnsi"/>
                <w:b/>
                <w:bCs/>
              </w:rPr>
            </w:pPr>
            <w:r w:rsidRPr="009F4749">
              <w:rPr>
                <w:rFonts w:cstheme="minorHAnsi"/>
                <w:b/>
                <w:bCs/>
              </w:rPr>
              <w:t>Definicja wskaźnika produktu</w:t>
            </w:r>
          </w:p>
        </w:tc>
      </w:tr>
      <w:tr w:rsidR="005A36B4" w:rsidRPr="009F4749" w14:paraId="08594383" w14:textId="77777777" w:rsidTr="005A36B4">
        <w:tc>
          <w:tcPr>
            <w:tcW w:w="486" w:type="dxa"/>
          </w:tcPr>
          <w:p w14:paraId="4CD41129" w14:textId="77777777" w:rsidR="005A36B4" w:rsidRPr="009F4749" w:rsidRDefault="005A36B4" w:rsidP="00035C72">
            <w:pPr>
              <w:spacing w:after="120"/>
              <w:rPr>
                <w:rFonts w:cstheme="minorHAnsi"/>
              </w:rPr>
            </w:pPr>
            <w:r w:rsidRPr="009F4749">
              <w:rPr>
                <w:rFonts w:cstheme="minorHAnsi"/>
              </w:rPr>
              <w:t>1.</w:t>
            </w:r>
          </w:p>
        </w:tc>
        <w:tc>
          <w:tcPr>
            <w:tcW w:w="2545" w:type="dxa"/>
          </w:tcPr>
          <w:p w14:paraId="7EA33505" w14:textId="77777777" w:rsidR="005A36B4" w:rsidRPr="009F4749" w:rsidRDefault="005A36B4" w:rsidP="00035C72">
            <w:pPr>
              <w:spacing w:after="120"/>
              <w:rPr>
                <w:rFonts w:cstheme="minorHAnsi"/>
              </w:rPr>
            </w:pPr>
            <w:r w:rsidRPr="009F4749">
              <w:rPr>
                <w:rFonts w:cstheme="minorHAnsi"/>
              </w:rPr>
              <w:t xml:space="preserve">Dodatkowe punkty adresowe dysponujące szerokopasmowym dostępem do sieci o bardzo wysokiej przepustowości </w:t>
            </w:r>
          </w:p>
        </w:tc>
        <w:tc>
          <w:tcPr>
            <w:tcW w:w="6892" w:type="dxa"/>
          </w:tcPr>
          <w:p w14:paraId="56360CEE" w14:textId="24E49291" w:rsidR="005A36B4" w:rsidRPr="009F4749" w:rsidRDefault="003D3084" w:rsidP="00035C72">
            <w:pPr>
              <w:spacing w:after="120"/>
              <w:rPr>
                <w:rFonts w:cstheme="minorHAnsi"/>
              </w:rPr>
            </w:pPr>
            <w:r w:rsidRPr="003D3084">
              <w:rPr>
                <w:rFonts w:cstheme="minorHAnsi"/>
              </w:rPr>
              <w:t xml:space="preserve">Łączna liczna punktów adresowych określonych jako białe punkty adresowe w </w:t>
            </w:r>
            <w:r>
              <w:rPr>
                <w:rFonts w:cstheme="minorHAnsi"/>
              </w:rPr>
              <w:t>naborze</w:t>
            </w:r>
            <w:r w:rsidRPr="003D3084">
              <w:rPr>
                <w:rFonts w:cstheme="minorHAnsi"/>
              </w:rPr>
              <w:t xml:space="preserve"> </w:t>
            </w:r>
            <w:r w:rsidR="005A36B4" w:rsidRPr="009F4749">
              <w:rPr>
                <w:rFonts w:cstheme="minorHAnsi"/>
              </w:rPr>
              <w:t>(w których znajdują się lokale mieszkalne i/lub miejsca stanowiące główną siłę napędową rozwoju społeczno-gospodarczego, tj. SED) dysponujących szerokopasmowym dostępem do sieci o bardzo dużej przepustowości dzięki wspieranym projektom.</w:t>
            </w:r>
          </w:p>
          <w:p w14:paraId="729AFA13" w14:textId="6FD78423" w:rsidR="005A36B4" w:rsidRPr="009F4749" w:rsidRDefault="005A36B4" w:rsidP="00035C72">
            <w:pPr>
              <w:spacing w:after="120"/>
              <w:rPr>
                <w:rFonts w:cstheme="minorHAnsi"/>
              </w:rPr>
            </w:pPr>
            <w:r w:rsidRPr="009F4749">
              <w:rPr>
                <w:rFonts w:cstheme="minorHAnsi"/>
              </w:rPr>
              <w:t>Objęcie zasięgiem punktu adresowego jest podstawą do wypłacenia/rozliczenia stawki jednostkowej przypisanej do danego punktu. Stawka jednostkowa dotyczy objęcia zasięgiem danego punktu adresowego, niezależnie od tego, ile lokali mieszkalnych lub SED znajduje się pod danym adresem. Każdy z punktów adresowych, który będzie objęty wsparciem z KPO w zakresie budowy dostępu do sieci, w dokumentacji konkursowej będzie miał przypisaną kategorię stawki jednostkowej. Podstawą do wypłacenia/rozliczenia stawki jednostkowej będzie zakończenie inwestycji dotyczącej objęcia zasięgiem sieci szerokopasmowego Internetu danego punktu adresowego.</w:t>
            </w:r>
          </w:p>
          <w:p w14:paraId="3E788F28" w14:textId="471DEC8C" w:rsidR="005A36B4" w:rsidRPr="009F4749" w:rsidRDefault="005A36B4" w:rsidP="00035C72">
            <w:pPr>
              <w:spacing w:after="120"/>
              <w:rPr>
                <w:rFonts w:cstheme="minorHAnsi"/>
              </w:rPr>
            </w:pPr>
            <w:r w:rsidRPr="009F4749">
              <w:rPr>
                <w:rFonts w:cstheme="minorHAnsi"/>
              </w:rPr>
              <w:t xml:space="preserve">Wskaźnik ma zastosowanie również w przypadku </w:t>
            </w:r>
            <w:r w:rsidR="00966F94">
              <w:rPr>
                <w:rFonts w:cstheme="minorHAnsi"/>
              </w:rPr>
              <w:t>przedsięwzięć</w:t>
            </w:r>
            <w:r w:rsidRPr="009F4749">
              <w:rPr>
                <w:rFonts w:cstheme="minorHAnsi"/>
              </w:rPr>
              <w:t xml:space="preserve">, w których wnioskodawca zaproponował pomniejszenie stawek jednostkowych w związku z aukcyjnym kryterium wyboru </w:t>
            </w:r>
            <w:r w:rsidR="00966F94">
              <w:rPr>
                <w:rFonts w:cstheme="minorHAnsi"/>
              </w:rPr>
              <w:t>przedsięwzięć</w:t>
            </w:r>
            <w:r w:rsidRPr="009F4749">
              <w:rPr>
                <w:rFonts w:cstheme="minorHAnsi"/>
              </w:rPr>
              <w:t>.</w:t>
            </w:r>
          </w:p>
          <w:p w14:paraId="3218CCDF" w14:textId="77777777" w:rsidR="005A36B4" w:rsidRPr="009F4749" w:rsidRDefault="005A36B4" w:rsidP="00035C72">
            <w:pPr>
              <w:spacing w:after="120"/>
              <w:rPr>
                <w:rFonts w:cstheme="minorHAnsi"/>
              </w:rPr>
            </w:pPr>
            <w:r w:rsidRPr="009F4749">
              <w:rPr>
                <w:rFonts w:cstheme="minorHAnsi"/>
              </w:rPr>
              <w:t>Art. 2 ust. 2 Europejskiego kodeksu łączności elektronicznej (EKŁE) obecnie definiuje termin „sieć o bardzo dużej przepustowości” w następujący sposób: „Sieć o bardzo dużej przepustowości” oznacza albo sieć łączności elektronicznej, która w całości składa się z elementów światłowodowych co najmniej na odcinku do punktu dystrybucji w miejscu świadczenia usługi, albo sieć łączności elektronicznej, która jest w stanie zapewnić w typowych warunkach panujących w czasie największego natężenia ruchu podobną wydajność sieci pod względem dostępnego pasma «w górę» i «w dół» łącza, odporności, parametrów związanych z błędami oraz opóźnienia i jego zmienności“.</w:t>
            </w:r>
          </w:p>
          <w:p w14:paraId="7C784A98" w14:textId="77777777" w:rsidR="005A36B4" w:rsidRPr="009F4749" w:rsidRDefault="005A36B4" w:rsidP="00035C72">
            <w:pPr>
              <w:spacing w:after="120"/>
              <w:rPr>
                <w:rFonts w:cstheme="minorHAnsi"/>
              </w:rPr>
            </w:pPr>
            <w:r w:rsidRPr="009F4749">
              <w:rPr>
                <w:rFonts w:cstheme="minorHAnsi"/>
              </w:rPr>
              <w:t>Definicja jest dokładniej wyjaśniona w motywie 13 EKŁE:</w:t>
            </w:r>
          </w:p>
          <w:p w14:paraId="2DD2A347" w14:textId="33F99FB4" w:rsidR="005A36B4" w:rsidRPr="009F4749" w:rsidRDefault="005A36B4" w:rsidP="00035C72">
            <w:pPr>
              <w:spacing w:after="120"/>
              <w:rPr>
                <w:rFonts w:cstheme="minorHAnsi"/>
              </w:rPr>
            </w:pPr>
            <w:r w:rsidRPr="009F4749">
              <w:rPr>
                <w:rFonts w:cstheme="minorHAnsi"/>
              </w:rPr>
              <w:t xml:space="preserve">„[…] przyszłe «sieci o bardzo dużej przepustowości» wymagają parametrów wydajności równoważnych tym, jakie może zapewnić sieć oparta na elementach światłowodowych przynajmniej na odcinku do punktu dystrybucji w miejscu świadczenia usługi. W przypadku połączeń stacjonarnych odpowiada to wydajności sieci równoważnej wydajności, jaką można osiągnąć dzięki instalacji światłowodu na odcinku do budynku wielorodzinnego uznawanego za miejsce świadczenia usługi. W przypadku połączeń bezprzewodowych odpowiada to wydajności sieci podobnej do tej, jaką można osiągnąć dzięki instalacji światłowodu na odcinku do stacji bazowej uznawanej za miejsce świadczenia </w:t>
            </w:r>
            <w:proofErr w:type="gramStart"/>
            <w:r w:rsidR="00936845" w:rsidRPr="009F4749">
              <w:rPr>
                <w:rFonts w:cstheme="minorHAnsi"/>
              </w:rPr>
              <w:t>usługi“</w:t>
            </w:r>
            <w:proofErr w:type="gramEnd"/>
            <w:r w:rsidRPr="009F4749">
              <w:rPr>
                <w:rFonts w:cstheme="minorHAnsi"/>
              </w:rPr>
              <w:t>.</w:t>
            </w:r>
          </w:p>
          <w:p w14:paraId="04CEB097" w14:textId="23FA3B82" w:rsidR="005A36B4" w:rsidRPr="009F4749" w:rsidRDefault="005A36B4" w:rsidP="00035C72">
            <w:pPr>
              <w:spacing w:after="120"/>
              <w:rPr>
                <w:rFonts w:cstheme="minorHAnsi"/>
              </w:rPr>
            </w:pPr>
            <w:r w:rsidRPr="009F4749">
              <w:rPr>
                <w:rFonts w:cstheme="minorHAnsi"/>
              </w:rPr>
              <w:t>Wytyczne BEREC w sprawie sieci o bardzo dużej przepustowości zawierają wskazówki dotyczące kryteriów, jakie musi spełnić sieć, aby można ją było uznać za sieć o bardzo dużej przepustowości zgodnie z definicją EKŁE</w:t>
            </w:r>
            <w:r w:rsidR="009F4749">
              <w:rPr>
                <w:rFonts w:cstheme="minorHAnsi"/>
              </w:rPr>
              <w:t>.</w:t>
            </w:r>
          </w:p>
        </w:tc>
      </w:tr>
    </w:tbl>
    <w:p w14:paraId="3A48B80E" w14:textId="22CFDF82" w:rsidR="00103ABD" w:rsidRPr="009F4749" w:rsidRDefault="00103ABD" w:rsidP="00F17DC8">
      <w:pPr>
        <w:rPr>
          <w:rFonts w:cstheme="minorHAnsi"/>
        </w:rPr>
      </w:pPr>
      <w:r w:rsidRPr="009F4749">
        <w:rPr>
          <w:rFonts w:cstheme="minorHAnsi"/>
        </w:rPr>
        <w:t>OOW będzie rozliczony w</w:t>
      </w:r>
      <w:r w:rsidR="005A36B4" w:rsidRPr="009F4749">
        <w:rPr>
          <w:rFonts w:cstheme="minorHAnsi"/>
        </w:rPr>
        <w:t>edług</w:t>
      </w:r>
      <w:r w:rsidRPr="009F4749">
        <w:rPr>
          <w:rFonts w:cstheme="minorHAnsi"/>
        </w:rPr>
        <w:t>:</w:t>
      </w:r>
    </w:p>
    <w:p w14:paraId="208454C9" w14:textId="645DE655" w:rsidR="00103ABD" w:rsidRPr="009F4749" w:rsidRDefault="00103ABD" w:rsidP="00F17DC8">
      <w:pPr>
        <w:pStyle w:val="Akapitzlist"/>
        <w:numPr>
          <w:ilvl w:val="0"/>
          <w:numId w:val="19"/>
        </w:numPr>
        <w:autoSpaceDE w:val="0"/>
        <w:autoSpaceDN w:val="0"/>
        <w:adjustRightInd w:val="0"/>
        <w:rPr>
          <w:rFonts w:eastAsia="Trebuchet MS" w:cstheme="minorHAnsi"/>
          <w:color w:val="000000"/>
        </w:rPr>
      </w:pPr>
      <w:r w:rsidRPr="009F4749">
        <w:rPr>
          <w:rFonts w:eastAsia="Trebuchet MS" w:cstheme="minorHAnsi"/>
          <w:color w:val="000000" w:themeColor="text1"/>
        </w:rPr>
        <w:t xml:space="preserve">stawki jednostkowej określonej w dokumentacji naboru, przypisanej danemu punktowi </w:t>
      </w:r>
      <w:r w:rsidR="00081855" w:rsidRPr="009F4749">
        <w:rPr>
          <w:rFonts w:eastAsia="Trebuchet MS" w:cstheme="minorHAnsi"/>
          <w:color w:val="000000" w:themeColor="text1"/>
        </w:rPr>
        <w:t>adresowemu</w:t>
      </w:r>
      <w:r w:rsidR="00F17DC8" w:rsidRPr="009F4749">
        <w:rPr>
          <w:rFonts w:eastAsia="Trebuchet MS" w:cstheme="minorHAnsi"/>
          <w:color w:val="000000" w:themeColor="text1"/>
        </w:rPr>
        <w:t xml:space="preserve"> albo</w:t>
      </w:r>
    </w:p>
    <w:p w14:paraId="77695CE5" w14:textId="315AB16E" w:rsidR="00103ABD" w:rsidRPr="009F4749" w:rsidRDefault="00103ABD" w:rsidP="00F17DC8">
      <w:pPr>
        <w:pStyle w:val="Akapitzlist"/>
        <w:numPr>
          <w:ilvl w:val="0"/>
          <w:numId w:val="19"/>
        </w:numPr>
        <w:autoSpaceDE w:val="0"/>
        <w:autoSpaceDN w:val="0"/>
        <w:adjustRightInd w:val="0"/>
        <w:rPr>
          <w:rFonts w:eastAsia="Trebuchet MS" w:cstheme="minorHAnsi"/>
          <w:color w:val="000000"/>
        </w:rPr>
      </w:pPr>
      <w:r w:rsidRPr="009F4749">
        <w:rPr>
          <w:rFonts w:eastAsia="Trebuchet MS" w:cstheme="minorHAnsi"/>
          <w:color w:val="000000" w:themeColor="text1"/>
        </w:rPr>
        <w:t xml:space="preserve">kwoty dofinansowania, określonej w umowie o </w:t>
      </w:r>
      <w:r w:rsidR="00993D42" w:rsidRPr="009F4749">
        <w:rPr>
          <w:rFonts w:eastAsia="Trebuchet MS" w:cstheme="minorHAnsi"/>
          <w:color w:val="000000" w:themeColor="text1"/>
        </w:rPr>
        <w:t>objęcie przedsięwzięcia wsparciem</w:t>
      </w:r>
      <w:r w:rsidRPr="009F4749">
        <w:rPr>
          <w:rFonts w:eastAsia="Trebuchet MS" w:cstheme="minorHAnsi"/>
          <w:color w:val="000000" w:themeColor="text1"/>
        </w:rPr>
        <w:t>, przypisanej danemu punktowi adresowemu.</w:t>
      </w:r>
    </w:p>
    <w:p w14:paraId="362962D9" w14:textId="1DF8E913" w:rsidR="00E52F10" w:rsidRPr="009F4749" w:rsidRDefault="005A36B4" w:rsidP="00F17DC8">
      <w:pPr>
        <w:rPr>
          <w:rFonts w:cstheme="minorHAnsi"/>
        </w:rPr>
      </w:pPr>
      <w:r w:rsidRPr="009F4749">
        <w:rPr>
          <w:rFonts w:cstheme="minorHAnsi"/>
        </w:rPr>
        <w:t>N</w:t>
      </w:r>
      <w:r w:rsidR="00103ABD" w:rsidRPr="009F4749">
        <w:rPr>
          <w:rFonts w:cstheme="minorHAnsi"/>
        </w:rPr>
        <w:t>ab</w:t>
      </w:r>
      <w:r w:rsidRPr="009F4749">
        <w:rPr>
          <w:rFonts w:cstheme="minorHAnsi"/>
        </w:rPr>
        <w:t>ór jest prowadzony z</w:t>
      </w:r>
      <w:r w:rsidR="00103ABD" w:rsidRPr="009F4749">
        <w:rPr>
          <w:rFonts w:cstheme="minorHAnsi"/>
        </w:rPr>
        <w:t xml:space="preserve"> zastosowanie</w:t>
      </w:r>
      <w:r w:rsidRPr="009F4749">
        <w:rPr>
          <w:rFonts w:cstheme="minorHAnsi"/>
        </w:rPr>
        <w:t>m</w:t>
      </w:r>
      <w:r w:rsidR="00103ABD" w:rsidRPr="009F4749">
        <w:rPr>
          <w:rFonts w:cstheme="minorHAnsi"/>
        </w:rPr>
        <w:t xml:space="preserve"> aukcyjnych kryteriów wyboru przedsięwzięć. Oznacza to, że wnioskodawcy będą mogli konkurować między sobą poprzez zaproponowanie własnej niższej kwoty </w:t>
      </w:r>
      <w:r w:rsidR="0053771A" w:rsidRPr="009F4749">
        <w:rPr>
          <w:rFonts w:cstheme="minorHAnsi"/>
        </w:rPr>
        <w:t>wsparcia</w:t>
      </w:r>
      <w:r w:rsidR="00103ABD" w:rsidRPr="009F4749">
        <w:rPr>
          <w:rFonts w:cstheme="minorHAnsi"/>
        </w:rPr>
        <w:t xml:space="preserve"> dla objęcia zasięgiem danego punktu adresowego. W takiej sytuacji wskazana w dokumentacji naboru stawka jednostkowa dla danego punktu adresowego zostanie pomniejszona do kwoty zaproponowanej przez wnioskodawcę i taka będzie uwzględniona w umowie o </w:t>
      </w:r>
      <w:r w:rsidR="0053771A" w:rsidRPr="009F4749">
        <w:rPr>
          <w:rFonts w:cstheme="minorHAnsi"/>
        </w:rPr>
        <w:t>objęcie przedsięwzięcia wsparciem</w:t>
      </w:r>
      <w:r w:rsidR="00103ABD" w:rsidRPr="009F4749">
        <w:rPr>
          <w:rFonts w:cstheme="minorHAnsi"/>
        </w:rPr>
        <w:t>.</w:t>
      </w:r>
    </w:p>
    <w:p w14:paraId="0BEE2EC4" w14:textId="015A35BB" w:rsidR="00687C44" w:rsidRPr="009F4749" w:rsidRDefault="00687C44" w:rsidP="00D522E4">
      <w:pPr>
        <w:pStyle w:val="Nagwek2"/>
      </w:pPr>
      <w:r w:rsidRPr="009F4749">
        <w:t>Informacje, w jaki sposób zapewniono, że tylko wydatki kwalifikowalne uwzględniono w ramach stawek jednostkowych</w:t>
      </w:r>
    </w:p>
    <w:p w14:paraId="6CB437FA" w14:textId="7A0FF46E" w:rsidR="00687C44" w:rsidRPr="009F4749" w:rsidRDefault="00687C44" w:rsidP="00F17DC8">
      <w:pPr>
        <w:rPr>
          <w:rFonts w:cstheme="minorHAnsi"/>
        </w:rPr>
      </w:pPr>
      <w:r w:rsidRPr="009F4749">
        <w:rPr>
          <w:rFonts w:cstheme="minorHAnsi"/>
        </w:rPr>
        <w:t xml:space="preserve">Elementy składowe kosztów stanowiące podstawę do wyliczenia stawki jednostkowej w aplikacji, </w:t>
      </w:r>
      <w:r w:rsidR="0044769D" w:rsidRPr="009F4749">
        <w:rPr>
          <w:rFonts w:cstheme="minorHAnsi"/>
        </w:rPr>
        <w:t>stanowią jedynie koszty kwalifikowalne. Wyliczając stawki jednostkowe brano pod uwagę koszty netto.</w:t>
      </w:r>
    </w:p>
    <w:p w14:paraId="6888F9EE" w14:textId="471001AF" w:rsidR="009455CB" w:rsidRPr="009F4749" w:rsidRDefault="009455CB" w:rsidP="00F17DC8">
      <w:pPr>
        <w:rPr>
          <w:rFonts w:cstheme="minorHAnsi"/>
        </w:rPr>
      </w:pPr>
      <w:r w:rsidRPr="009F4749">
        <w:rPr>
          <w:rFonts w:cstheme="minorHAnsi"/>
        </w:rPr>
        <w:t>VAT nie jest wydatkiem kwalifikowalnym i nie może być finansowany ze środków KPO w ramach przedsięwzięcia.</w:t>
      </w:r>
    </w:p>
    <w:p w14:paraId="391F1882" w14:textId="51210929" w:rsidR="00687C44" w:rsidRPr="009F4749" w:rsidRDefault="00687C44" w:rsidP="00D522E4">
      <w:pPr>
        <w:pStyle w:val="Nagwek2"/>
      </w:pPr>
      <w:r w:rsidRPr="009F4749">
        <w:t>Sposób weryfikacji/dokumenty potwierdzające wykonanie stawki jednostkowej</w:t>
      </w:r>
    </w:p>
    <w:p w14:paraId="6F79994E" w14:textId="7B6944A1" w:rsidR="00687C44" w:rsidRPr="009F4749" w:rsidRDefault="00687C44" w:rsidP="00F17DC8">
      <w:pPr>
        <w:rPr>
          <w:rFonts w:cstheme="minorHAnsi"/>
        </w:rPr>
      </w:pPr>
      <w:r w:rsidRPr="009F4749">
        <w:rPr>
          <w:rFonts w:cstheme="minorHAnsi"/>
        </w:rPr>
        <w:t>Wykonanie</w:t>
      </w:r>
      <w:r w:rsidR="00197823" w:rsidRPr="009F4749">
        <w:rPr>
          <w:rFonts w:cstheme="minorHAnsi"/>
        </w:rPr>
        <w:t xml:space="preserve"> określonego w umowie o </w:t>
      </w:r>
      <w:r w:rsidR="006F440D" w:rsidRPr="009F4749">
        <w:rPr>
          <w:rFonts w:cstheme="minorHAnsi"/>
        </w:rPr>
        <w:t>objęcie przedsięwzięcia wsparciem</w:t>
      </w:r>
      <w:r w:rsidRPr="009F4749">
        <w:rPr>
          <w:rFonts w:cstheme="minorHAnsi"/>
        </w:rPr>
        <w:t xml:space="preserve"> wskaźnika</w:t>
      </w:r>
      <w:r w:rsidR="00197823" w:rsidRPr="009F4749">
        <w:rPr>
          <w:rFonts w:cstheme="minorHAnsi"/>
        </w:rPr>
        <w:t xml:space="preserve"> produktu</w:t>
      </w:r>
      <w:r w:rsidRPr="009F4749">
        <w:rPr>
          <w:rFonts w:cstheme="minorHAnsi"/>
        </w:rPr>
        <w:t xml:space="preserve"> będzie weryfikowane przez </w:t>
      </w:r>
      <w:r w:rsidR="00356277" w:rsidRPr="009F4749">
        <w:rPr>
          <w:rFonts w:cstheme="minorHAnsi"/>
        </w:rPr>
        <w:t xml:space="preserve">jednostkę wspierającą plan rozwojowy (dalej „JW”) </w:t>
      </w:r>
      <w:r w:rsidRPr="009F4749">
        <w:rPr>
          <w:rFonts w:cstheme="minorHAnsi"/>
        </w:rPr>
        <w:t>z wykorzystaniem systemu do monitorowania projektów</w:t>
      </w:r>
      <w:r w:rsidR="00B87F75" w:rsidRPr="009F4749">
        <w:rPr>
          <w:rFonts w:cstheme="minorHAnsi"/>
        </w:rPr>
        <w:t>/przedsięwzięć</w:t>
      </w:r>
      <w:r w:rsidRPr="009F4749">
        <w:rPr>
          <w:rFonts w:cstheme="minorHAnsi"/>
        </w:rPr>
        <w:t xml:space="preserve"> SIMBA. W systemie tym, w </w:t>
      </w:r>
      <w:r w:rsidR="00197823" w:rsidRPr="009F4749">
        <w:rPr>
          <w:rFonts w:cstheme="minorHAnsi"/>
        </w:rPr>
        <w:t>uzgodnionych</w:t>
      </w:r>
      <w:r w:rsidRPr="009F4749">
        <w:rPr>
          <w:rFonts w:cstheme="minorHAnsi"/>
        </w:rPr>
        <w:t xml:space="preserve"> okresach sprawozdawczych beneficjenci</w:t>
      </w:r>
      <w:r w:rsidR="00B87F75" w:rsidRPr="009F4749">
        <w:rPr>
          <w:rFonts w:cstheme="minorHAnsi"/>
        </w:rPr>
        <w:t>/OOW</w:t>
      </w:r>
      <w:r w:rsidRPr="009F4749">
        <w:rPr>
          <w:rFonts w:cstheme="minorHAnsi"/>
        </w:rPr>
        <w:t xml:space="preserve"> sprawozdają statusy realizacji </w:t>
      </w:r>
      <w:r w:rsidR="00B87F75" w:rsidRPr="009F4749">
        <w:rPr>
          <w:rFonts w:cstheme="minorHAnsi"/>
        </w:rPr>
        <w:t>przedsięwzięć</w:t>
      </w:r>
      <w:r w:rsidRPr="009F4749">
        <w:rPr>
          <w:rFonts w:cstheme="minorHAnsi"/>
        </w:rPr>
        <w:t xml:space="preserve"> w odniesieniu do poszczególnych punktów adresowych oznaczając bieżący status ich realizacji tj. projektowanie/wstępna koncepcja, w budowie</w:t>
      </w:r>
      <w:r w:rsidR="00E22704" w:rsidRPr="009F4749">
        <w:rPr>
          <w:rFonts w:cstheme="minorHAnsi"/>
        </w:rPr>
        <w:t xml:space="preserve"> oraz </w:t>
      </w:r>
      <w:r w:rsidRPr="009F4749">
        <w:rPr>
          <w:rFonts w:cstheme="minorHAnsi"/>
        </w:rPr>
        <w:t>w zas</w:t>
      </w:r>
      <w:r w:rsidR="00B87F75" w:rsidRPr="009F4749">
        <w:rPr>
          <w:rFonts w:cstheme="minorHAnsi"/>
        </w:rPr>
        <w:t xml:space="preserve">ięgu – co </w:t>
      </w:r>
      <w:r w:rsidR="00E22704" w:rsidRPr="009F4749">
        <w:rPr>
          <w:rFonts w:cstheme="minorHAnsi"/>
        </w:rPr>
        <w:t xml:space="preserve">oznacza </w:t>
      </w:r>
      <w:r w:rsidR="00B87F75" w:rsidRPr="009F4749">
        <w:rPr>
          <w:rFonts w:cstheme="minorHAnsi"/>
        </w:rPr>
        <w:t>końcowy etap przedsięwzięcia</w:t>
      </w:r>
      <w:r w:rsidRPr="009F4749">
        <w:rPr>
          <w:rFonts w:cstheme="minorHAnsi"/>
        </w:rPr>
        <w:t>.</w:t>
      </w:r>
    </w:p>
    <w:p w14:paraId="3EE1C260" w14:textId="71122FCD" w:rsidR="002C39BA" w:rsidRPr="009F4749" w:rsidRDefault="002C39BA" w:rsidP="002C39BA">
      <w:pPr>
        <w:rPr>
          <w:rFonts w:cstheme="minorHAnsi"/>
        </w:rPr>
      </w:pPr>
      <w:r w:rsidRPr="009F4749">
        <w:rPr>
          <w:rFonts w:cstheme="minorHAnsi"/>
        </w:rPr>
        <w:t xml:space="preserve">Dla punktów adresowych oznaczonych </w:t>
      </w:r>
      <w:r w:rsidR="009E5D6C" w:rsidRPr="009F4749">
        <w:rPr>
          <w:rFonts w:cstheme="minorHAnsi"/>
        </w:rPr>
        <w:t>—</w:t>
      </w:r>
      <w:r w:rsidRPr="009F4749">
        <w:rPr>
          <w:rFonts w:cstheme="minorHAnsi"/>
        </w:rPr>
        <w:t xml:space="preserve"> w </w:t>
      </w:r>
      <w:r w:rsidR="009E5D6C" w:rsidRPr="009F4749">
        <w:rPr>
          <w:rFonts w:cstheme="minorHAnsi"/>
        </w:rPr>
        <w:t>zasięgu — w</w:t>
      </w:r>
      <w:r w:rsidRPr="009F4749">
        <w:rPr>
          <w:rFonts w:cstheme="minorHAnsi"/>
        </w:rPr>
        <w:t xml:space="preserve"> celu ich rozliczenia będą brane pod uwagę</w:t>
      </w:r>
      <w:r w:rsidR="007C07F4">
        <w:rPr>
          <w:rFonts w:cstheme="minorHAnsi"/>
        </w:rPr>
        <w:t xml:space="preserve"> </w:t>
      </w:r>
      <w:r w:rsidR="007C07F4" w:rsidRPr="0095726C">
        <w:rPr>
          <w:rFonts w:eastAsia="Calibri" w:cstheme="minorHAnsi"/>
          <w:color w:val="000000" w:themeColor="text1"/>
        </w:rPr>
        <w:t>wybrane według uznania Jednostki wspierającej</w:t>
      </w:r>
      <w:r w:rsidRPr="009F4749">
        <w:rPr>
          <w:rFonts w:cstheme="minorHAnsi"/>
        </w:rPr>
        <w:t xml:space="preserve"> dokumenty</w:t>
      </w:r>
      <w:r w:rsidR="007C07F4">
        <w:rPr>
          <w:rFonts w:cstheme="minorHAnsi"/>
        </w:rPr>
        <w:t xml:space="preserve"> </w:t>
      </w:r>
      <w:r w:rsidR="007C07F4" w:rsidRPr="0095726C">
        <w:rPr>
          <w:rFonts w:eastAsia="Calibri" w:cstheme="minorHAnsi"/>
          <w:color w:val="000000" w:themeColor="text1"/>
        </w:rPr>
        <w:t xml:space="preserve">dotyczące realizacji Przedsięwzięcia, </w:t>
      </w:r>
      <w:r w:rsidR="00754F66">
        <w:rPr>
          <w:rFonts w:eastAsia="Calibri" w:cstheme="minorHAnsi"/>
          <w:color w:val="000000" w:themeColor="text1"/>
        </w:rPr>
        <w:t>na przykład</w:t>
      </w:r>
      <w:r w:rsidRPr="009F4749">
        <w:rPr>
          <w:rFonts w:cstheme="minorHAnsi"/>
        </w:rPr>
        <w:t>:</w:t>
      </w:r>
    </w:p>
    <w:p w14:paraId="75EAA6D4" w14:textId="05793134" w:rsidR="002C39BA" w:rsidRPr="009F4749" w:rsidRDefault="002C39BA" w:rsidP="002C39BA">
      <w:pPr>
        <w:pStyle w:val="Akapitzlist"/>
        <w:numPr>
          <w:ilvl w:val="0"/>
          <w:numId w:val="25"/>
        </w:numPr>
        <w:rPr>
          <w:rFonts w:cstheme="minorHAnsi"/>
        </w:rPr>
      </w:pPr>
      <w:r w:rsidRPr="009F4749">
        <w:rPr>
          <w:rFonts w:cstheme="minorHAnsi"/>
        </w:rPr>
        <w:t xml:space="preserve">protokoły odbioru </w:t>
      </w:r>
      <w:r w:rsidR="00081855" w:rsidRPr="009F4749">
        <w:rPr>
          <w:rFonts w:cstheme="minorHAnsi"/>
        </w:rPr>
        <w:t>prac</w:t>
      </w:r>
      <w:r w:rsidRPr="009F4749">
        <w:rPr>
          <w:rFonts w:cstheme="minorHAnsi"/>
        </w:rPr>
        <w:t xml:space="preserve"> lub innych równoważnych dowodów, </w:t>
      </w:r>
    </w:p>
    <w:p w14:paraId="460EF792" w14:textId="77777777" w:rsidR="002C39BA" w:rsidRPr="009F4749" w:rsidRDefault="002C39BA" w:rsidP="002C39BA">
      <w:pPr>
        <w:pStyle w:val="Akapitzlist"/>
        <w:numPr>
          <w:ilvl w:val="0"/>
          <w:numId w:val="25"/>
        </w:numPr>
        <w:rPr>
          <w:rFonts w:cstheme="minorHAnsi"/>
        </w:rPr>
      </w:pPr>
      <w:r w:rsidRPr="009F4749">
        <w:rPr>
          <w:rFonts w:cstheme="minorHAnsi"/>
        </w:rPr>
        <w:t>dokumentacja powykonawcza,</w:t>
      </w:r>
    </w:p>
    <w:p w14:paraId="473C6CE3" w14:textId="11D070AC" w:rsidR="002C39BA" w:rsidRPr="009F4749" w:rsidRDefault="002C39BA" w:rsidP="002C39BA">
      <w:pPr>
        <w:pStyle w:val="Akapitzlist"/>
        <w:numPr>
          <w:ilvl w:val="0"/>
          <w:numId w:val="25"/>
        </w:numPr>
        <w:rPr>
          <w:rFonts w:cstheme="minorHAnsi"/>
        </w:rPr>
      </w:pPr>
      <w:r w:rsidRPr="009F4749">
        <w:rPr>
          <w:rFonts w:cstheme="minorHAnsi"/>
        </w:rPr>
        <w:t>projekty wybudowanej sieci w postaci wektorowej SHP</w:t>
      </w:r>
      <w:r w:rsidR="00CA07E3">
        <w:rPr>
          <w:rFonts w:cstheme="minorHAnsi"/>
        </w:rPr>
        <w:t xml:space="preserve"> (poprzez SIMBA)</w:t>
      </w:r>
      <w:r w:rsidRPr="009F4749">
        <w:rPr>
          <w:rFonts w:cstheme="minorHAnsi"/>
        </w:rPr>
        <w:t>,</w:t>
      </w:r>
    </w:p>
    <w:p w14:paraId="742A19ED" w14:textId="77777777" w:rsidR="002C39BA" w:rsidRPr="009F4749" w:rsidRDefault="002C39BA" w:rsidP="002C39BA">
      <w:pPr>
        <w:pStyle w:val="Akapitzlist"/>
        <w:numPr>
          <w:ilvl w:val="0"/>
          <w:numId w:val="25"/>
        </w:numPr>
        <w:rPr>
          <w:rFonts w:cstheme="minorHAnsi"/>
        </w:rPr>
      </w:pPr>
      <w:r w:rsidRPr="009F4749">
        <w:rPr>
          <w:rFonts w:cstheme="minorHAnsi"/>
        </w:rPr>
        <w:t>dokument przyjęcia środka trwałego - OT.</w:t>
      </w:r>
    </w:p>
    <w:p w14:paraId="35297706" w14:textId="25688328" w:rsidR="00754F66" w:rsidRPr="00754F66" w:rsidRDefault="002C39BA" w:rsidP="0026539A">
      <w:pPr>
        <w:rPr>
          <w:rFonts w:cstheme="minorHAnsi"/>
        </w:rPr>
      </w:pPr>
      <w:r w:rsidRPr="009F4749">
        <w:rPr>
          <w:rFonts w:cstheme="minorHAnsi"/>
        </w:rPr>
        <w:t xml:space="preserve">inne równoważne </w:t>
      </w:r>
      <w:r w:rsidR="00754F66">
        <w:rPr>
          <w:rFonts w:cstheme="minorHAnsi"/>
        </w:rPr>
        <w:t xml:space="preserve">dokumenty wskazane przez Ostatecznego odbiorcę wsparcia (np. oświadczenie projektanta/geodety o zgłoszeniu do </w:t>
      </w:r>
      <w:r w:rsidR="00936845">
        <w:rPr>
          <w:rFonts w:cstheme="minorHAnsi"/>
        </w:rPr>
        <w:t>zasobów) -</w:t>
      </w:r>
      <w:r w:rsidR="00754F66">
        <w:rPr>
          <w:rFonts w:cstheme="minorHAnsi"/>
        </w:rPr>
        <w:t xml:space="preserve"> potwierdzające zakres zrealizowanych prac.</w:t>
      </w:r>
    </w:p>
    <w:p w14:paraId="34F75811" w14:textId="3D09EA1B" w:rsidR="00DA6CCD" w:rsidRPr="009F4749" w:rsidRDefault="00687C44" w:rsidP="009F4749">
      <w:pPr>
        <w:rPr>
          <w:rFonts w:cstheme="minorHAnsi"/>
        </w:rPr>
      </w:pPr>
      <w:r w:rsidRPr="009F4749">
        <w:rPr>
          <w:rFonts w:cstheme="minorHAnsi"/>
        </w:rPr>
        <w:t>Ponadto zarówno w trakcie realizacji pr</w:t>
      </w:r>
      <w:r w:rsidR="00B87F75" w:rsidRPr="009F4749">
        <w:rPr>
          <w:rFonts w:cstheme="minorHAnsi"/>
        </w:rPr>
        <w:t>zedsięwzięcia,</w:t>
      </w:r>
      <w:r w:rsidRPr="009F4749">
        <w:rPr>
          <w:rFonts w:cstheme="minorHAnsi"/>
        </w:rPr>
        <w:t xml:space="preserve"> jak i na </w:t>
      </w:r>
      <w:r w:rsidR="00E22704" w:rsidRPr="009F4749">
        <w:rPr>
          <w:rFonts w:cstheme="minorHAnsi"/>
        </w:rPr>
        <w:t xml:space="preserve">jego </w:t>
      </w:r>
      <w:r w:rsidRPr="009F4749">
        <w:rPr>
          <w:rFonts w:cstheme="minorHAnsi"/>
        </w:rPr>
        <w:t xml:space="preserve">zakończenie planowane są kontrole techniczne weryfikujące poprawność i zgodność </w:t>
      </w:r>
      <w:r w:rsidR="00E22704" w:rsidRPr="009F4749">
        <w:rPr>
          <w:rFonts w:cstheme="minorHAnsi"/>
        </w:rPr>
        <w:t xml:space="preserve">wybudowanej infrastruktury </w:t>
      </w:r>
      <w:r w:rsidRPr="009F4749">
        <w:rPr>
          <w:rFonts w:cstheme="minorHAnsi"/>
        </w:rPr>
        <w:t>z założeniami pr</w:t>
      </w:r>
      <w:r w:rsidR="00B87F75" w:rsidRPr="009F4749">
        <w:rPr>
          <w:rFonts w:cstheme="minorHAnsi"/>
        </w:rPr>
        <w:t>zedsięwzięcia</w:t>
      </w:r>
      <w:r w:rsidRPr="009F4749">
        <w:rPr>
          <w:rFonts w:cstheme="minorHAnsi"/>
        </w:rPr>
        <w:t>.</w:t>
      </w:r>
    </w:p>
    <w:sectPr w:rsidR="00DA6CCD" w:rsidRPr="009F474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B7D859" w14:textId="77777777" w:rsidR="00441744" w:rsidRDefault="00441744" w:rsidP="00DF3F26">
      <w:pPr>
        <w:spacing w:after="0" w:line="240" w:lineRule="auto"/>
      </w:pPr>
      <w:r>
        <w:separator/>
      </w:r>
    </w:p>
  </w:endnote>
  <w:endnote w:type="continuationSeparator" w:id="0">
    <w:p w14:paraId="3D7DCD22" w14:textId="77777777" w:rsidR="00441744" w:rsidRDefault="00441744" w:rsidP="00DF3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F78250" w14:textId="77777777" w:rsidR="00441744" w:rsidRDefault="00441744" w:rsidP="00DF3F26">
      <w:pPr>
        <w:spacing w:after="0" w:line="240" w:lineRule="auto"/>
      </w:pPr>
      <w:r>
        <w:separator/>
      </w:r>
    </w:p>
  </w:footnote>
  <w:footnote w:type="continuationSeparator" w:id="0">
    <w:p w14:paraId="71114B06" w14:textId="77777777" w:rsidR="00441744" w:rsidRDefault="00441744" w:rsidP="00DF3F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1F8EF7" w14:textId="75D4158C" w:rsidR="00F34BAD" w:rsidRDefault="00322987">
    <w:pPr>
      <w:pStyle w:val="Nagwek"/>
    </w:pPr>
    <w:r w:rsidRPr="00322987">
      <w:rPr>
        <w:rFonts w:ascii="Calibri" w:eastAsia="Calibri" w:hAnsi="Calibri" w:cs="Times New Roman"/>
        <w:noProof/>
        <w:lang w:eastAsia="pl-PL"/>
      </w:rPr>
      <w:drawing>
        <wp:anchor distT="0" distB="0" distL="114300" distR="114300" simplePos="0" relativeHeight="251658240" behindDoc="0" locked="0" layoutInCell="1" allowOverlap="1" wp14:anchorId="7C0C1DB2" wp14:editId="1E23F43F">
          <wp:simplePos x="0" y="0"/>
          <wp:positionH relativeFrom="margin">
            <wp:align>right</wp:align>
          </wp:positionH>
          <wp:positionV relativeFrom="paragraph">
            <wp:posOffset>-160020</wp:posOffset>
          </wp:positionV>
          <wp:extent cx="5760720" cy="339090"/>
          <wp:effectExtent l="0" t="0" r="0" b="3810"/>
          <wp:wrapSquare wrapText="bothSides"/>
          <wp:docPr id="6191" name="Obraz 1" descr="obraz">
            <a:extLst xmlns:a="http://schemas.openxmlformats.org/drawingml/2006/main">
              <a:ext uri="{FF2B5EF4-FFF2-40B4-BE49-F238E27FC236}">
                <a16:creationId xmlns:a16="http://schemas.microsoft.com/office/drawing/2014/main" id="{67D5CEAE-13AC-0FB8-422E-2446B82EADB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91" name="Obraz 1" descr="obraz">
                    <a:extLst>
                      <a:ext uri="{FF2B5EF4-FFF2-40B4-BE49-F238E27FC236}">
                        <a16:creationId xmlns:a16="http://schemas.microsoft.com/office/drawing/2014/main" id="{67D5CEAE-13AC-0FB8-422E-2446B82EADBB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39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A361D"/>
    <w:multiLevelType w:val="hybridMultilevel"/>
    <w:tmpl w:val="6E088630"/>
    <w:lvl w:ilvl="0" w:tplc="09D0F4AE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b w:val="0"/>
        <w:sz w:val="22"/>
        <w:szCs w:val="22"/>
      </w:rPr>
    </w:lvl>
    <w:lvl w:ilvl="1" w:tplc="AED0E82A">
      <w:start w:val="1"/>
      <w:numFmt w:val="decimal"/>
      <w:lvlText w:val="%2)"/>
      <w:lvlJc w:val="left"/>
      <w:pPr>
        <w:ind w:left="1080" w:firstLine="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A3A20"/>
    <w:multiLevelType w:val="hybridMultilevel"/>
    <w:tmpl w:val="089CA7DE"/>
    <w:lvl w:ilvl="0" w:tplc="09D0F4AE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b w:val="0"/>
        <w:sz w:val="22"/>
        <w:szCs w:val="22"/>
      </w:rPr>
    </w:lvl>
    <w:lvl w:ilvl="1" w:tplc="AED0E82A">
      <w:start w:val="1"/>
      <w:numFmt w:val="decimal"/>
      <w:lvlText w:val="%2)"/>
      <w:lvlJc w:val="left"/>
      <w:pPr>
        <w:ind w:left="1080" w:firstLine="0"/>
      </w:pPr>
      <w:rPr>
        <w:rFonts w:hint="default"/>
      </w:rPr>
    </w:lvl>
    <w:lvl w:ilvl="2" w:tplc="78F0360E">
      <w:start w:val="1"/>
      <w:numFmt w:val="bullet"/>
      <w:lvlText w:val="—"/>
      <w:lvlJc w:val="left"/>
      <w:pPr>
        <w:ind w:left="2340" w:hanging="360"/>
      </w:pPr>
      <w:rPr>
        <w:rFonts w:ascii="Vivaldi" w:hAnsi="Vivald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A3FAB"/>
    <w:multiLevelType w:val="hybridMultilevel"/>
    <w:tmpl w:val="902A211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0A9E75F6"/>
    <w:multiLevelType w:val="hybridMultilevel"/>
    <w:tmpl w:val="641C16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587B4C"/>
    <w:multiLevelType w:val="hybridMultilevel"/>
    <w:tmpl w:val="EBF25E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602B28"/>
    <w:multiLevelType w:val="hybridMultilevel"/>
    <w:tmpl w:val="D3726A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6D94475"/>
    <w:multiLevelType w:val="hybridMultilevel"/>
    <w:tmpl w:val="855A5D74"/>
    <w:lvl w:ilvl="0" w:tplc="D0ECA14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E7603B"/>
    <w:multiLevelType w:val="hybridMultilevel"/>
    <w:tmpl w:val="923EDD90"/>
    <w:lvl w:ilvl="0" w:tplc="1D685EAA">
      <w:start w:val="1"/>
      <w:numFmt w:val="decimal"/>
      <w:pStyle w:val="Nagwek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D12A5E"/>
    <w:multiLevelType w:val="hybridMultilevel"/>
    <w:tmpl w:val="1D5842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401DE6"/>
    <w:multiLevelType w:val="hybridMultilevel"/>
    <w:tmpl w:val="F9386534"/>
    <w:lvl w:ilvl="0" w:tplc="01E2BA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D1704468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B514B0"/>
    <w:multiLevelType w:val="hybridMultilevel"/>
    <w:tmpl w:val="9FDA1BF4"/>
    <w:lvl w:ilvl="0" w:tplc="CA68822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E18A8"/>
    <w:multiLevelType w:val="hybridMultilevel"/>
    <w:tmpl w:val="192616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4638AA"/>
    <w:multiLevelType w:val="hybridMultilevel"/>
    <w:tmpl w:val="C12EAA18"/>
    <w:lvl w:ilvl="0" w:tplc="C66473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D568E9"/>
    <w:multiLevelType w:val="hybridMultilevel"/>
    <w:tmpl w:val="4A90EEE4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DA1FE4"/>
    <w:multiLevelType w:val="hybridMultilevel"/>
    <w:tmpl w:val="445875A6"/>
    <w:lvl w:ilvl="0" w:tplc="CA68822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2E2317"/>
    <w:multiLevelType w:val="hybridMultilevel"/>
    <w:tmpl w:val="EE2A4312"/>
    <w:lvl w:ilvl="0" w:tplc="0415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30AE4553"/>
    <w:multiLevelType w:val="hybridMultilevel"/>
    <w:tmpl w:val="6E7020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D43DDA"/>
    <w:multiLevelType w:val="hybridMultilevel"/>
    <w:tmpl w:val="566A89C4"/>
    <w:lvl w:ilvl="0" w:tplc="710E93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4D6833"/>
    <w:multiLevelType w:val="hybridMultilevel"/>
    <w:tmpl w:val="6B143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C93F58"/>
    <w:multiLevelType w:val="hybridMultilevel"/>
    <w:tmpl w:val="A8EA89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020B32"/>
    <w:multiLevelType w:val="hybridMultilevel"/>
    <w:tmpl w:val="78780DE4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1" w15:restartNumberingAfterBreak="0">
    <w:nsid w:val="45A75348"/>
    <w:multiLevelType w:val="hybridMultilevel"/>
    <w:tmpl w:val="84A2A3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B662EF"/>
    <w:multiLevelType w:val="hybridMultilevel"/>
    <w:tmpl w:val="89D083D0"/>
    <w:lvl w:ilvl="0" w:tplc="4CE41D9C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DB846A3"/>
    <w:multiLevelType w:val="hybridMultilevel"/>
    <w:tmpl w:val="61F66F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EAB3820"/>
    <w:multiLevelType w:val="hybridMultilevel"/>
    <w:tmpl w:val="4348ACE0"/>
    <w:lvl w:ilvl="0" w:tplc="B8CE4B04">
      <w:start w:val="2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8E3190"/>
    <w:multiLevelType w:val="hybridMultilevel"/>
    <w:tmpl w:val="39FE34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6B3FEC3"/>
    <w:multiLevelType w:val="multilevel"/>
    <w:tmpl w:val="2D6E1C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786" w:hanging="360"/>
      </w:pPr>
    </w:lvl>
    <w:lvl w:ilvl="2">
      <w:start w:val="1"/>
      <w:numFmt w:val="lowerRoman"/>
      <w:lvlText w:val="%3)"/>
      <w:lvlJc w:val="righ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E02B52"/>
    <w:multiLevelType w:val="hybridMultilevel"/>
    <w:tmpl w:val="A4EC794C"/>
    <w:lvl w:ilvl="0" w:tplc="DFE633B4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8" w15:restartNumberingAfterBreak="0">
    <w:nsid w:val="6C8459F5"/>
    <w:multiLevelType w:val="hybridMultilevel"/>
    <w:tmpl w:val="574C7FFC"/>
    <w:lvl w:ilvl="0" w:tplc="04150011">
      <w:start w:val="1"/>
      <w:numFmt w:val="decimal"/>
      <w:lvlText w:val="%1)"/>
      <w:lvlJc w:val="left"/>
      <w:pPr>
        <w:ind w:left="1848" w:hanging="360"/>
      </w:pPr>
    </w:lvl>
    <w:lvl w:ilvl="1" w:tplc="04150017">
      <w:start w:val="1"/>
      <w:numFmt w:val="lowerLetter"/>
      <w:lvlText w:val="%2)"/>
      <w:lvlJc w:val="left"/>
      <w:pPr>
        <w:ind w:left="2568" w:hanging="360"/>
      </w:pPr>
    </w:lvl>
    <w:lvl w:ilvl="2" w:tplc="04150001">
      <w:start w:val="1"/>
      <w:numFmt w:val="bullet"/>
      <w:lvlText w:val=""/>
      <w:lvlJc w:val="left"/>
      <w:pPr>
        <w:ind w:left="2591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4008" w:hanging="360"/>
      </w:pPr>
    </w:lvl>
    <w:lvl w:ilvl="4" w:tplc="04150019" w:tentative="1">
      <w:start w:val="1"/>
      <w:numFmt w:val="lowerLetter"/>
      <w:lvlText w:val="%5."/>
      <w:lvlJc w:val="left"/>
      <w:pPr>
        <w:ind w:left="4728" w:hanging="360"/>
      </w:pPr>
    </w:lvl>
    <w:lvl w:ilvl="5" w:tplc="0415001B" w:tentative="1">
      <w:start w:val="1"/>
      <w:numFmt w:val="lowerRoman"/>
      <w:lvlText w:val="%6."/>
      <w:lvlJc w:val="right"/>
      <w:pPr>
        <w:ind w:left="5448" w:hanging="180"/>
      </w:pPr>
    </w:lvl>
    <w:lvl w:ilvl="6" w:tplc="0415000F" w:tentative="1">
      <w:start w:val="1"/>
      <w:numFmt w:val="decimal"/>
      <w:lvlText w:val="%7."/>
      <w:lvlJc w:val="left"/>
      <w:pPr>
        <w:ind w:left="6168" w:hanging="360"/>
      </w:pPr>
    </w:lvl>
    <w:lvl w:ilvl="7" w:tplc="04150019" w:tentative="1">
      <w:start w:val="1"/>
      <w:numFmt w:val="lowerLetter"/>
      <w:lvlText w:val="%8."/>
      <w:lvlJc w:val="left"/>
      <w:pPr>
        <w:ind w:left="6888" w:hanging="360"/>
      </w:pPr>
    </w:lvl>
    <w:lvl w:ilvl="8" w:tplc="041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29" w15:restartNumberingAfterBreak="0">
    <w:nsid w:val="6F642CBD"/>
    <w:multiLevelType w:val="hybridMultilevel"/>
    <w:tmpl w:val="1958CE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F45B67"/>
    <w:multiLevelType w:val="hybridMultilevel"/>
    <w:tmpl w:val="40FA0B74"/>
    <w:lvl w:ilvl="0" w:tplc="B8CE4B04">
      <w:start w:val="2"/>
      <w:numFmt w:val="bullet"/>
      <w:lvlText w:val="•"/>
      <w:lvlJc w:val="left"/>
      <w:pPr>
        <w:ind w:left="1004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748D1BA6"/>
    <w:multiLevelType w:val="hybridMultilevel"/>
    <w:tmpl w:val="31201C58"/>
    <w:lvl w:ilvl="0" w:tplc="D0ECA14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F517CA"/>
    <w:multiLevelType w:val="hybridMultilevel"/>
    <w:tmpl w:val="86364842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 w16cid:durableId="1497649162">
    <w:abstractNumId w:val="17"/>
  </w:num>
  <w:num w:numId="2" w16cid:durableId="449200394">
    <w:abstractNumId w:val="9"/>
  </w:num>
  <w:num w:numId="3" w16cid:durableId="312371647">
    <w:abstractNumId w:val="25"/>
  </w:num>
  <w:num w:numId="4" w16cid:durableId="561865432">
    <w:abstractNumId w:val="11"/>
  </w:num>
  <w:num w:numId="5" w16cid:durableId="598564106">
    <w:abstractNumId w:val="22"/>
  </w:num>
  <w:num w:numId="6" w16cid:durableId="115224901">
    <w:abstractNumId w:val="5"/>
  </w:num>
  <w:num w:numId="7" w16cid:durableId="140925274">
    <w:abstractNumId w:val="1"/>
  </w:num>
  <w:num w:numId="8" w16cid:durableId="2128506732">
    <w:abstractNumId w:val="28"/>
  </w:num>
  <w:num w:numId="9" w16cid:durableId="82191896">
    <w:abstractNumId w:val="23"/>
  </w:num>
  <w:num w:numId="10" w16cid:durableId="376660238">
    <w:abstractNumId w:val="2"/>
  </w:num>
  <w:num w:numId="11" w16cid:durableId="1692145695">
    <w:abstractNumId w:val="26"/>
  </w:num>
  <w:num w:numId="12" w16cid:durableId="655767357">
    <w:abstractNumId w:val="0"/>
  </w:num>
  <w:num w:numId="13" w16cid:durableId="519396996">
    <w:abstractNumId w:val="19"/>
  </w:num>
  <w:num w:numId="14" w16cid:durableId="567496376">
    <w:abstractNumId w:val="24"/>
  </w:num>
  <w:num w:numId="15" w16cid:durableId="1293832237">
    <w:abstractNumId w:val="30"/>
  </w:num>
  <w:num w:numId="16" w16cid:durableId="1261983934">
    <w:abstractNumId w:val="13"/>
  </w:num>
  <w:num w:numId="17" w16cid:durableId="1685857201">
    <w:abstractNumId w:val="20"/>
  </w:num>
  <w:num w:numId="18" w16cid:durableId="723677858">
    <w:abstractNumId w:val="3"/>
  </w:num>
  <w:num w:numId="19" w16cid:durableId="733160249">
    <w:abstractNumId w:val="21"/>
  </w:num>
  <w:num w:numId="20" w16cid:durableId="2015958605">
    <w:abstractNumId w:val="18"/>
  </w:num>
  <w:num w:numId="21" w16cid:durableId="1449814242">
    <w:abstractNumId w:val="29"/>
  </w:num>
  <w:num w:numId="22" w16cid:durableId="716321576">
    <w:abstractNumId w:val="4"/>
  </w:num>
  <w:num w:numId="23" w16cid:durableId="347603267">
    <w:abstractNumId w:val="15"/>
  </w:num>
  <w:num w:numId="24" w16cid:durableId="955912341">
    <w:abstractNumId w:val="16"/>
  </w:num>
  <w:num w:numId="25" w16cid:durableId="1157381217">
    <w:abstractNumId w:val="32"/>
  </w:num>
  <w:num w:numId="26" w16cid:durableId="1249999973">
    <w:abstractNumId w:val="12"/>
  </w:num>
  <w:num w:numId="27" w16cid:durableId="1850027260">
    <w:abstractNumId w:val="8"/>
  </w:num>
  <w:num w:numId="28" w16cid:durableId="1493598068">
    <w:abstractNumId w:val="27"/>
  </w:num>
  <w:num w:numId="29" w16cid:durableId="2055039157">
    <w:abstractNumId w:val="14"/>
  </w:num>
  <w:num w:numId="30" w16cid:durableId="1237671719">
    <w:abstractNumId w:val="10"/>
  </w:num>
  <w:num w:numId="31" w16cid:durableId="905996728">
    <w:abstractNumId w:val="31"/>
  </w:num>
  <w:num w:numId="32" w16cid:durableId="1776363159">
    <w:abstractNumId w:val="6"/>
  </w:num>
  <w:num w:numId="33" w16cid:durableId="17676500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F26"/>
    <w:rsid w:val="000106E5"/>
    <w:rsid w:val="000335C5"/>
    <w:rsid w:val="000351A1"/>
    <w:rsid w:val="00036015"/>
    <w:rsid w:val="00063CA1"/>
    <w:rsid w:val="0006487A"/>
    <w:rsid w:val="000768BE"/>
    <w:rsid w:val="00081855"/>
    <w:rsid w:val="000856FB"/>
    <w:rsid w:val="000A8ECA"/>
    <w:rsid w:val="000B6CF6"/>
    <w:rsid w:val="000C21F2"/>
    <w:rsid w:val="000C2D63"/>
    <w:rsid w:val="00103ABD"/>
    <w:rsid w:val="001051B4"/>
    <w:rsid w:val="00107F51"/>
    <w:rsid w:val="00131C05"/>
    <w:rsid w:val="0014481B"/>
    <w:rsid w:val="00173EC4"/>
    <w:rsid w:val="001961CA"/>
    <w:rsid w:val="00197823"/>
    <w:rsid w:val="001A7C79"/>
    <w:rsid w:val="001C0C2E"/>
    <w:rsid w:val="001C4C2B"/>
    <w:rsid w:val="001F584A"/>
    <w:rsid w:val="0021286C"/>
    <w:rsid w:val="002233BF"/>
    <w:rsid w:val="002307E8"/>
    <w:rsid w:val="0023432F"/>
    <w:rsid w:val="002457B3"/>
    <w:rsid w:val="002568EF"/>
    <w:rsid w:val="00256E77"/>
    <w:rsid w:val="0026539A"/>
    <w:rsid w:val="0027203E"/>
    <w:rsid w:val="002734C8"/>
    <w:rsid w:val="00274DB6"/>
    <w:rsid w:val="00276E40"/>
    <w:rsid w:val="002969DB"/>
    <w:rsid w:val="002B5C7C"/>
    <w:rsid w:val="002B6434"/>
    <w:rsid w:val="002C39BA"/>
    <w:rsid w:val="002C76B4"/>
    <w:rsid w:val="002E4ECC"/>
    <w:rsid w:val="002F0B55"/>
    <w:rsid w:val="00322987"/>
    <w:rsid w:val="003273CC"/>
    <w:rsid w:val="003456C7"/>
    <w:rsid w:val="003556C3"/>
    <w:rsid w:val="00356277"/>
    <w:rsid w:val="003738FE"/>
    <w:rsid w:val="003806C8"/>
    <w:rsid w:val="00384972"/>
    <w:rsid w:val="003873A7"/>
    <w:rsid w:val="003908D8"/>
    <w:rsid w:val="00392D56"/>
    <w:rsid w:val="003B3D9B"/>
    <w:rsid w:val="003C5BC8"/>
    <w:rsid w:val="003D3084"/>
    <w:rsid w:val="004165A5"/>
    <w:rsid w:val="00433763"/>
    <w:rsid w:val="00441744"/>
    <w:rsid w:val="0044769D"/>
    <w:rsid w:val="004A3AC4"/>
    <w:rsid w:val="004B0729"/>
    <w:rsid w:val="004B7893"/>
    <w:rsid w:val="004F3DFB"/>
    <w:rsid w:val="004F48B2"/>
    <w:rsid w:val="0050024B"/>
    <w:rsid w:val="005020E3"/>
    <w:rsid w:val="00507B0E"/>
    <w:rsid w:val="0053771A"/>
    <w:rsid w:val="005424A9"/>
    <w:rsid w:val="00542B60"/>
    <w:rsid w:val="00574CD0"/>
    <w:rsid w:val="00580245"/>
    <w:rsid w:val="00593986"/>
    <w:rsid w:val="005A36B4"/>
    <w:rsid w:val="005C0DFC"/>
    <w:rsid w:val="005C1ACD"/>
    <w:rsid w:val="005C5DA1"/>
    <w:rsid w:val="005F7B3B"/>
    <w:rsid w:val="00615FA6"/>
    <w:rsid w:val="00620862"/>
    <w:rsid w:val="00641126"/>
    <w:rsid w:val="00655193"/>
    <w:rsid w:val="00670203"/>
    <w:rsid w:val="0067185A"/>
    <w:rsid w:val="00671E55"/>
    <w:rsid w:val="00687C44"/>
    <w:rsid w:val="006A63DE"/>
    <w:rsid w:val="006C7333"/>
    <w:rsid w:val="006C7463"/>
    <w:rsid w:val="006D0D48"/>
    <w:rsid w:val="006D5298"/>
    <w:rsid w:val="006E5C18"/>
    <w:rsid w:val="006F440D"/>
    <w:rsid w:val="00754F66"/>
    <w:rsid w:val="0076723A"/>
    <w:rsid w:val="007805FF"/>
    <w:rsid w:val="00790931"/>
    <w:rsid w:val="007A4FFC"/>
    <w:rsid w:val="007C07F4"/>
    <w:rsid w:val="007C73A8"/>
    <w:rsid w:val="007D0025"/>
    <w:rsid w:val="007D78DC"/>
    <w:rsid w:val="008235EE"/>
    <w:rsid w:val="00834FE2"/>
    <w:rsid w:val="00836630"/>
    <w:rsid w:val="00860212"/>
    <w:rsid w:val="00864857"/>
    <w:rsid w:val="00873484"/>
    <w:rsid w:val="00883217"/>
    <w:rsid w:val="008877E0"/>
    <w:rsid w:val="008959BA"/>
    <w:rsid w:val="008979E6"/>
    <w:rsid w:val="008A45B3"/>
    <w:rsid w:val="008B656D"/>
    <w:rsid w:val="008D3043"/>
    <w:rsid w:val="00906B92"/>
    <w:rsid w:val="00925BF9"/>
    <w:rsid w:val="00936845"/>
    <w:rsid w:val="009455CB"/>
    <w:rsid w:val="0094662D"/>
    <w:rsid w:val="00966F94"/>
    <w:rsid w:val="009835A4"/>
    <w:rsid w:val="009873CB"/>
    <w:rsid w:val="00993D42"/>
    <w:rsid w:val="009B0CE2"/>
    <w:rsid w:val="009B544F"/>
    <w:rsid w:val="009B55EA"/>
    <w:rsid w:val="009B5A89"/>
    <w:rsid w:val="009B74CD"/>
    <w:rsid w:val="009C1AEE"/>
    <w:rsid w:val="009E5D6C"/>
    <w:rsid w:val="009F4437"/>
    <w:rsid w:val="009F4749"/>
    <w:rsid w:val="00A07450"/>
    <w:rsid w:val="00A11E2E"/>
    <w:rsid w:val="00A30608"/>
    <w:rsid w:val="00A370E9"/>
    <w:rsid w:val="00A44D25"/>
    <w:rsid w:val="00A7642F"/>
    <w:rsid w:val="00A933FF"/>
    <w:rsid w:val="00AB4DD2"/>
    <w:rsid w:val="00AC4859"/>
    <w:rsid w:val="00AC7DFD"/>
    <w:rsid w:val="00AF08CE"/>
    <w:rsid w:val="00B0070D"/>
    <w:rsid w:val="00B4585D"/>
    <w:rsid w:val="00B621AD"/>
    <w:rsid w:val="00B8304A"/>
    <w:rsid w:val="00B84C29"/>
    <w:rsid w:val="00B87F75"/>
    <w:rsid w:val="00BB1B60"/>
    <w:rsid w:val="00BB4D90"/>
    <w:rsid w:val="00BB6AF3"/>
    <w:rsid w:val="00BC74B4"/>
    <w:rsid w:val="00BD57D6"/>
    <w:rsid w:val="00BE2736"/>
    <w:rsid w:val="00C012C0"/>
    <w:rsid w:val="00C30A23"/>
    <w:rsid w:val="00C31905"/>
    <w:rsid w:val="00C448A4"/>
    <w:rsid w:val="00C4678A"/>
    <w:rsid w:val="00C5000C"/>
    <w:rsid w:val="00C70921"/>
    <w:rsid w:val="00C82052"/>
    <w:rsid w:val="00CA07E3"/>
    <w:rsid w:val="00CA0D2A"/>
    <w:rsid w:val="00CD3328"/>
    <w:rsid w:val="00CE7442"/>
    <w:rsid w:val="00D06806"/>
    <w:rsid w:val="00D513A5"/>
    <w:rsid w:val="00D522E4"/>
    <w:rsid w:val="00D55772"/>
    <w:rsid w:val="00DA6CCD"/>
    <w:rsid w:val="00DB291C"/>
    <w:rsid w:val="00DB6EA0"/>
    <w:rsid w:val="00DC4189"/>
    <w:rsid w:val="00DE260D"/>
    <w:rsid w:val="00DF3F26"/>
    <w:rsid w:val="00DF56B3"/>
    <w:rsid w:val="00E10843"/>
    <w:rsid w:val="00E22704"/>
    <w:rsid w:val="00E22BE6"/>
    <w:rsid w:val="00E52708"/>
    <w:rsid w:val="00E52F10"/>
    <w:rsid w:val="00E6425A"/>
    <w:rsid w:val="00E66245"/>
    <w:rsid w:val="00E8794C"/>
    <w:rsid w:val="00EC0AB0"/>
    <w:rsid w:val="00EE1951"/>
    <w:rsid w:val="00EE7F7F"/>
    <w:rsid w:val="00F10B46"/>
    <w:rsid w:val="00F17DC8"/>
    <w:rsid w:val="00F34BAD"/>
    <w:rsid w:val="00F4446D"/>
    <w:rsid w:val="00F46DC4"/>
    <w:rsid w:val="00F55873"/>
    <w:rsid w:val="00F668C6"/>
    <w:rsid w:val="00FB7094"/>
    <w:rsid w:val="00FC6134"/>
    <w:rsid w:val="00FD5725"/>
    <w:rsid w:val="00FE081F"/>
    <w:rsid w:val="03691481"/>
    <w:rsid w:val="06270851"/>
    <w:rsid w:val="071AFBE1"/>
    <w:rsid w:val="08329548"/>
    <w:rsid w:val="08AE819F"/>
    <w:rsid w:val="09A897FC"/>
    <w:rsid w:val="0D48D599"/>
    <w:rsid w:val="0F074E2A"/>
    <w:rsid w:val="0F0CE569"/>
    <w:rsid w:val="1304B53F"/>
    <w:rsid w:val="154C5C4C"/>
    <w:rsid w:val="1627C1B1"/>
    <w:rsid w:val="1AFFED13"/>
    <w:rsid w:val="1C57B0F2"/>
    <w:rsid w:val="206F9019"/>
    <w:rsid w:val="21DB1D09"/>
    <w:rsid w:val="252431AE"/>
    <w:rsid w:val="2F64FCD7"/>
    <w:rsid w:val="30DA203C"/>
    <w:rsid w:val="3247FF1D"/>
    <w:rsid w:val="333B1B01"/>
    <w:rsid w:val="38AC8589"/>
    <w:rsid w:val="3BB92D0D"/>
    <w:rsid w:val="3E91A852"/>
    <w:rsid w:val="3FA4C6F7"/>
    <w:rsid w:val="4BEDBACA"/>
    <w:rsid w:val="4DAEA84C"/>
    <w:rsid w:val="4EF1CA45"/>
    <w:rsid w:val="506EEF29"/>
    <w:rsid w:val="54474285"/>
    <w:rsid w:val="5785917B"/>
    <w:rsid w:val="5DE75F78"/>
    <w:rsid w:val="5DE8F9A0"/>
    <w:rsid w:val="5F073B48"/>
    <w:rsid w:val="64865E37"/>
    <w:rsid w:val="68C0064B"/>
    <w:rsid w:val="6B00D710"/>
    <w:rsid w:val="6C835B3A"/>
    <w:rsid w:val="6C9502C5"/>
    <w:rsid w:val="6ED9AF86"/>
    <w:rsid w:val="737A51F6"/>
    <w:rsid w:val="73957F2D"/>
    <w:rsid w:val="73F47493"/>
    <w:rsid w:val="747544C2"/>
    <w:rsid w:val="7544053A"/>
    <w:rsid w:val="75F193EB"/>
    <w:rsid w:val="76CD1FEF"/>
    <w:rsid w:val="793539AA"/>
    <w:rsid w:val="7953E099"/>
    <w:rsid w:val="7B1D76B0"/>
    <w:rsid w:val="7B674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9D7C1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360" w:after="3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522E4"/>
    <w:pPr>
      <w:keepNext/>
      <w:keepLines/>
      <w:spacing w:before="160"/>
      <w:outlineLvl w:val="0"/>
    </w:pPr>
    <w:rPr>
      <w:rFonts w:eastAsiaTheme="majorEastAsia" w:cstheme="minorHAnsi"/>
      <w:b/>
      <w:sz w:val="24"/>
      <w:szCs w:val="24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D522E4"/>
    <w:pPr>
      <w:numPr>
        <w:numId w:val="33"/>
      </w:numPr>
      <w:outlineLvl w:val="1"/>
    </w:p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D522E4"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F26"/>
  </w:style>
  <w:style w:type="paragraph" w:styleId="Stopka">
    <w:name w:val="footer"/>
    <w:basedOn w:val="Normalny"/>
    <w:link w:val="StopkaZnak"/>
    <w:uiPriority w:val="99"/>
    <w:unhideWhenUsed/>
    <w:rsid w:val="00DF3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F26"/>
  </w:style>
  <w:style w:type="paragraph" w:customStyle="1" w:styleId="Default">
    <w:name w:val="Default"/>
    <w:rsid w:val="00DF3F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D522E4"/>
    <w:rPr>
      <w:rFonts w:eastAsiaTheme="majorEastAsia" w:cstheme="minorHAnsi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DF3F2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B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07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072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072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07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72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07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4585D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D522E4"/>
    <w:rPr>
      <w:rFonts w:eastAsiaTheme="majorEastAsia" w:cstheme="minorHAnsi"/>
      <w:b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D522E4"/>
    <w:rPr>
      <w:rFonts w:eastAsiaTheme="majorEastAsia" w:cstheme="minorHAns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31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5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504351AB-3E16-48A5-9534-2493D6B44423}">
  <we:reference id="wa104381727" version="1.0.0.9" store="pl-PL" storeType="OMEX"/>
  <we:alternateReferences>
    <we:reference id="wa104381727" version="1.0.0.9" store="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E95BD3-31E7-4CBA-9F08-F87E7D9E8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1661</Words>
  <Characters>9969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Wyciąg z metodyki stawek jednostkowych</dc:title>
  <dc:subject/>
  <dc:creator/>
  <cp:keywords/>
  <dc:description/>
  <cp:lastModifiedBy/>
  <cp:revision>1</cp:revision>
  <dcterms:created xsi:type="dcterms:W3CDTF">2025-04-01T11:05:00Z</dcterms:created>
  <dcterms:modified xsi:type="dcterms:W3CDTF">2025-04-01T11:05:00Z</dcterms:modified>
</cp:coreProperties>
</file>